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BDD" w:rsidP="5D7D8ABB" w:rsidRDefault="00B91BDD" w14:paraId="695C955D" w14:textId="0E9F5550">
      <w:pPr>
        <w:pStyle w:val="paragraph"/>
        <w:spacing w:before="0" w:beforeAutospacing="off" w:after="0" w:afterAutospacing="off"/>
        <w:jc w:val="center"/>
        <w:textAlignment w:val="baseline"/>
        <w:rPr>
          <w:rFonts w:ascii="Segoe UI" w:hAnsi="Segoe UI" w:cs="Segoe UI"/>
          <w:sz w:val="18"/>
          <w:szCs w:val="18"/>
        </w:rPr>
      </w:pPr>
      <w:r w:rsidRPr="5D7D8ABB" w:rsidR="00B91BDD">
        <w:rPr>
          <w:rStyle w:val="normaltextrun"/>
          <w:b w:val="1"/>
          <w:bCs w:val="1"/>
          <w:sz w:val="32"/>
          <w:szCs w:val="32"/>
        </w:rPr>
        <w:t>C</w:t>
      </w:r>
      <w:r w:rsidRPr="5D7D8ABB" w:rsidR="00B91BDD">
        <w:rPr>
          <w:rStyle w:val="normaltextrun"/>
          <w:b w:val="1"/>
          <w:bCs w:val="1"/>
        </w:rPr>
        <w:t>OMMITTEE ON </w:t>
      </w:r>
      <w:r w:rsidRPr="5D7D8ABB" w:rsidR="00B91BDD">
        <w:rPr>
          <w:rStyle w:val="normaltextrun"/>
          <w:b w:val="1"/>
          <w:bCs w:val="1"/>
          <w:sz w:val="32"/>
          <w:szCs w:val="32"/>
        </w:rPr>
        <w:t>R</w:t>
      </w:r>
      <w:r w:rsidRPr="5D7D8ABB" w:rsidR="00B91BDD">
        <w:rPr>
          <w:rStyle w:val="normaltextrun"/>
          <w:b w:val="1"/>
          <w:bCs w:val="1"/>
        </w:rPr>
        <w:t>EVENUE ~ </w:t>
      </w:r>
      <w:r w:rsidRPr="5D7D8ABB" w:rsidR="6B8C844E">
        <w:rPr>
          <w:rStyle w:val="normaltextrun"/>
          <w:b w:val="1"/>
          <w:bCs w:val="1"/>
        </w:rPr>
        <w:t xml:space="preserve">HOUSE </w:t>
      </w:r>
      <w:r w:rsidRPr="5D7D8ABB" w:rsidR="00B91BDD">
        <w:rPr>
          <w:rStyle w:val="normaltextrun"/>
          <w:b w:val="1"/>
          <w:bCs w:val="1"/>
        </w:rPr>
        <w:t>BILL SUMMARY </w:t>
      </w:r>
      <w:r w:rsidRPr="5D7D8ABB" w:rsidR="00B91BDD">
        <w:rPr>
          <w:rStyle w:val="eop"/>
        </w:rPr>
        <w:t> </w:t>
      </w:r>
    </w:p>
    <w:p w:rsidR="00B91BDD" w:rsidP="00B91BDD" w:rsidRDefault="00B91BDD" w14:paraId="1FDAF711"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B91BDD" w:rsidP="00B91BDD" w:rsidRDefault="00B91BDD" w14:paraId="2E44F855"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B91BDD" w:rsidP="00B91BDD" w:rsidRDefault="00B91BDD" w14:paraId="26F78E5A" w14:textId="75E5CC12">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Bill Number:</w:t>
      </w:r>
      <w:r>
        <w:rPr>
          <w:rStyle w:val="tabchar"/>
          <w:rFonts w:ascii="Calibri" w:hAnsi="Calibri" w:cs="Calibri"/>
          <w:sz w:val="22"/>
          <w:szCs w:val="22"/>
        </w:rPr>
        <w:tab/>
      </w:r>
      <w:r>
        <w:rPr>
          <w:rStyle w:val="tabchar"/>
          <w:rFonts w:ascii="Calibri" w:hAnsi="Calibri" w:cs="Calibri"/>
        </w:rPr>
        <w:tab/>
      </w:r>
      <w:r>
        <w:rPr>
          <w:rStyle w:val="normaltextrun"/>
          <w:color w:val="000000"/>
          <w:sz w:val="22"/>
          <w:szCs w:val="22"/>
        </w:rPr>
        <w:t xml:space="preserve"> H.</w:t>
      </w:r>
      <w:r>
        <w:rPr>
          <w:rStyle w:val="normaltextrun"/>
          <w:color w:val="000000"/>
          <w:sz w:val="22"/>
          <w:szCs w:val="22"/>
        </w:rPr>
        <w:t>3156</w:t>
      </w:r>
      <w:r>
        <w:rPr>
          <w:rStyle w:val="eop"/>
          <w:color w:val="000000"/>
          <w:sz w:val="22"/>
          <w:szCs w:val="22"/>
        </w:rPr>
        <w:t> </w:t>
      </w:r>
    </w:p>
    <w:p w:rsidR="00B91BDD" w:rsidP="00B91BDD" w:rsidRDefault="00B91BDD" w14:paraId="021CD263"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rsidR="00B91BDD" w:rsidP="00B91BDD" w:rsidRDefault="00B91BDD" w14:paraId="26BFE294" w14:textId="77777777">
      <w:pPr>
        <w:pStyle w:val="paragraph"/>
        <w:spacing w:before="0" w:beforeAutospacing="0" w:after="0" w:afterAutospacing="0"/>
        <w:ind w:left="2160" w:hanging="2160"/>
        <w:textAlignment w:val="baseline"/>
        <w:rPr>
          <w:rFonts w:ascii="Segoe UI" w:hAnsi="Segoe UI" w:cs="Segoe UI"/>
          <w:sz w:val="18"/>
          <w:szCs w:val="18"/>
        </w:rPr>
      </w:pPr>
      <w:r>
        <w:rPr>
          <w:rStyle w:val="normaltextrun"/>
          <w:b/>
          <w:bCs/>
          <w:color w:val="000000"/>
          <w:sz w:val="22"/>
          <w:szCs w:val="22"/>
        </w:rPr>
        <w:t>Name:</w:t>
      </w:r>
      <w:r>
        <w:rPr>
          <w:rStyle w:val="tabchar"/>
          <w:rFonts w:ascii="Calibri" w:hAnsi="Calibri" w:cs="Calibri"/>
          <w:color w:val="000000"/>
          <w:sz w:val="22"/>
          <w:szCs w:val="22"/>
        </w:rPr>
        <w:tab/>
      </w:r>
      <w:r>
        <w:rPr>
          <w:rStyle w:val="normaltextrun"/>
          <w:sz w:val="22"/>
          <w:szCs w:val="22"/>
        </w:rPr>
        <w:t>AN ACT TO INCREASE THE INCOME LIMIT FOR CLAUSE 41A, SENIOR TAX DEFERRAL PROGRAM IN IPSWICH</w:t>
      </w:r>
      <w:r>
        <w:rPr>
          <w:rStyle w:val="eop"/>
          <w:sz w:val="22"/>
          <w:szCs w:val="22"/>
        </w:rPr>
        <w:t> </w:t>
      </w:r>
    </w:p>
    <w:p w:rsidR="00B91BDD" w:rsidP="00B91BDD" w:rsidRDefault="00B91BDD" w14:paraId="2A640D9A" w14:textId="77777777">
      <w:pPr>
        <w:pStyle w:val="paragraph"/>
        <w:spacing w:before="0" w:beforeAutospacing="0" w:after="0" w:afterAutospacing="0"/>
        <w:ind w:left="1440" w:firstLine="720"/>
        <w:textAlignment w:val="baseline"/>
        <w:rPr>
          <w:rFonts w:ascii="Segoe UI" w:hAnsi="Segoe UI" w:cs="Segoe UI"/>
          <w:sz w:val="18"/>
          <w:szCs w:val="18"/>
        </w:rPr>
      </w:pPr>
      <w:r>
        <w:rPr>
          <w:rStyle w:val="normaltextrun"/>
          <w:b/>
          <w:bCs/>
          <w:color w:val="000000"/>
          <w:sz w:val="22"/>
          <w:szCs w:val="22"/>
        </w:rPr>
        <w:t>[LOCAL APPROVAL RECEIVED]</w:t>
      </w:r>
      <w:r>
        <w:rPr>
          <w:rStyle w:val="eop"/>
          <w:color w:val="000000"/>
          <w:sz w:val="22"/>
          <w:szCs w:val="22"/>
        </w:rPr>
        <w:t> </w:t>
      </w:r>
    </w:p>
    <w:p w:rsidR="00B91BDD" w:rsidP="00B91BDD" w:rsidRDefault="00B91BDD" w14:paraId="5B6AA283"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rsidR="00B91BDD" w:rsidP="00B91BDD" w:rsidRDefault="00B91BDD" w14:paraId="24E96611"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sz w:val="22"/>
          <w:szCs w:val="22"/>
        </w:rPr>
        <w:t>Sponsor(s):</w:t>
      </w:r>
      <w:r>
        <w:rPr>
          <w:rStyle w:val="tabchar"/>
          <w:rFonts w:ascii="Calibri" w:hAnsi="Calibri" w:cs="Calibri"/>
          <w:color w:val="000000"/>
          <w:sz w:val="22"/>
          <w:szCs w:val="22"/>
        </w:rPr>
        <w:tab/>
      </w:r>
      <w:r>
        <w:rPr>
          <w:rStyle w:val="tabchar"/>
          <w:rFonts w:ascii="Calibri" w:hAnsi="Calibri" w:cs="Calibri"/>
        </w:rPr>
        <w:tab/>
      </w:r>
      <w:r>
        <w:rPr>
          <w:rStyle w:val="normaltextrun"/>
          <w:color w:val="000000"/>
          <w:sz w:val="22"/>
          <w:szCs w:val="22"/>
        </w:rPr>
        <w:t>Rep. Kristin E. Kassner (Hamilton)</w:t>
      </w:r>
      <w:r>
        <w:rPr>
          <w:rStyle w:val="tabchar"/>
          <w:rFonts w:ascii="Calibri" w:hAnsi="Calibri" w:cs="Calibri"/>
          <w:color w:val="000000"/>
          <w:sz w:val="22"/>
          <w:szCs w:val="22"/>
        </w:rPr>
        <w:tab/>
      </w:r>
      <w:r>
        <w:rPr>
          <w:rStyle w:val="eop"/>
          <w:sz w:val="18"/>
          <w:szCs w:val="18"/>
        </w:rPr>
        <w:t> </w:t>
      </w:r>
    </w:p>
    <w:p w:rsidR="00B91BDD" w:rsidP="00B91BDD" w:rsidRDefault="00B91BDD" w14:paraId="28FD51ED"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rsidR="00B91BDD" w:rsidP="00B91BDD" w:rsidRDefault="00B91BDD" w14:paraId="193CA9F9" w14:textId="692D65F6">
      <w:pPr>
        <w:pStyle w:val="paragraph"/>
        <w:spacing w:before="0" w:beforeAutospacing="0" w:after="0" w:afterAutospacing="0"/>
        <w:jc w:val="both"/>
        <w:textAlignment w:val="baseline"/>
        <w:rPr>
          <w:rStyle w:val="eop"/>
          <w:sz w:val="22"/>
          <w:szCs w:val="22"/>
        </w:rPr>
      </w:pPr>
      <w:r>
        <w:rPr>
          <w:rStyle w:val="normaltextrun"/>
          <w:b/>
          <w:bCs/>
          <w:color w:val="000000"/>
          <w:sz w:val="22"/>
          <w:szCs w:val="22"/>
        </w:rPr>
        <w:t>Hearing Date:</w:t>
      </w:r>
      <w:r>
        <w:rPr>
          <w:rStyle w:val="tabchar"/>
          <w:rFonts w:ascii="Calibri" w:hAnsi="Calibri" w:cs="Calibri"/>
          <w:color w:val="000000"/>
          <w:sz w:val="22"/>
          <w:szCs w:val="22"/>
        </w:rPr>
        <w:tab/>
      </w:r>
      <w:r>
        <w:rPr>
          <w:rStyle w:val="tabchar"/>
          <w:rFonts w:ascii="Calibri" w:hAnsi="Calibri" w:cs="Calibri"/>
        </w:rPr>
        <w:tab/>
      </w:r>
      <w:r>
        <w:rPr>
          <w:rStyle w:val="normaltextrun"/>
          <w:sz w:val="22"/>
          <w:szCs w:val="22"/>
        </w:rPr>
        <w:t>May 13</w:t>
      </w:r>
      <w:r>
        <w:rPr>
          <w:rStyle w:val="normaltextrun"/>
          <w:sz w:val="22"/>
          <w:szCs w:val="22"/>
        </w:rPr>
        <w:t>, 202</w:t>
      </w:r>
      <w:r>
        <w:rPr>
          <w:rStyle w:val="normaltextrun"/>
          <w:sz w:val="22"/>
          <w:szCs w:val="22"/>
        </w:rPr>
        <w:t>5</w:t>
      </w:r>
      <w:r>
        <w:rPr>
          <w:rStyle w:val="normaltextrun"/>
          <w:sz w:val="22"/>
          <w:szCs w:val="22"/>
        </w:rPr>
        <w:t> </w:t>
      </w:r>
      <w:r>
        <w:rPr>
          <w:rStyle w:val="eop"/>
          <w:sz w:val="22"/>
          <w:szCs w:val="22"/>
        </w:rPr>
        <w:t> </w:t>
      </w:r>
    </w:p>
    <w:p w:rsidR="00B91BDD" w:rsidP="00B91BDD" w:rsidRDefault="00B91BDD" w14:paraId="19775AA5" w14:textId="12DD22F1">
      <w:pPr>
        <w:pStyle w:val="paragraph"/>
        <w:spacing w:before="0" w:beforeAutospacing="0" w:after="0" w:afterAutospacing="0"/>
        <w:jc w:val="both"/>
        <w:textAlignment w:val="baseline"/>
        <w:rPr>
          <w:rStyle w:val="eop"/>
          <w:sz w:val="22"/>
          <w:szCs w:val="22"/>
        </w:rPr>
      </w:pPr>
    </w:p>
    <w:p w:rsidRPr="00B91BDD" w:rsidR="00B91BDD" w:rsidP="00B91BDD" w:rsidRDefault="00B91BDD" w14:paraId="48923777" w14:textId="6D34A249">
      <w:pPr>
        <w:pStyle w:val="paragraph"/>
        <w:spacing w:before="0" w:beforeAutospacing="0" w:after="0" w:afterAutospacing="0"/>
        <w:jc w:val="both"/>
        <w:textAlignment w:val="baseline"/>
        <w:rPr>
          <w:rFonts w:ascii="Segoe UI" w:hAnsi="Segoe UI" w:cs="Segoe UI"/>
          <w:b/>
          <w:bCs/>
          <w:sz w:val="18"/>
          <w:szCs w:val="18"/>
        </w:rPr>
      </w:pPr>
      <w:r w:rsidRPr="00B91BDD">
        <w:rPr>
          <w:rStyle w:val="eop"/>
          <w:b/>
          <w:bCs/>
          <w:sz w:val="22"/>
          <w:szCs w:val="22"/>
        </w:rPr>
        <w:t xml:space="preserve">Reporting Date: </w:t>
      </w:r>
      <w:r w:rsidRPr="00B91BDD">
        <w:rPr>
          <w:rStyle w:val="eop"/>
          <w:b/>
          <w:bCs/>
          <w:sz w:val="22"/>
          <w:szCs w:val="22"/>
        </w:rPr>
        <w:tab/>
      </w:r>
      <w:r w:rsidRPr="00B91BDD">
        <w:rPr>
          <w:rStyle w:val="eop"/>
          <w:sz w:val="22"/>
          <w:szCs w:val="22"/>
        </w:rPr>
        <w:t>July 12, 2025</w:t>
      </w:r>
    </w:p>
    <w:p w:rsidR="00B91BDD" w:rsidP="00B91BDD" w:rsidRDefault="00B91BDD" w14:paraId="475163C3"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w:t>
      </w:r>
      <w:r>
        <w:rPr>
          <w:rStyle w:val="eop"/>
          <w:color w:val="000000"/>
          <w:sz w:val="22"/>
          <w:szCs w:val="22"/>
        </w:rPr>
        <w:t> </w:t>
      </w:r>
    </w:p>
    <w:p w:rsidR="00B91BDD" w:rsidP="00B91BDD" w:rsidRDefault="00B91BDD" w14:paraId="186D136C" w14:textId="1B2F1AFE">
      <w:pPr>
        <w:pStyle w:val="paragraph"/>
        <w:spacing w:before="0" w:beforeAutospacing="0" w:after="0" w:afterAutospacing="0"/>
        <w:ind w:left="2160" w:hanging="2160"/>
        <w:jc w:val="both"/>
        <w:textAlignment w:val="baseline"/>
        <w:rPr>
          <w:rStyle w:val="normaltextrun"/>
          <w:color w:val="000000"/>
          <w:sz w:val="22"/>
          <w:szCs w:val="22"/>
        </w:rPr>
      </w:pPr>
      <w:r>
        <w:rPr>
          <w:rStyle w:val="normaltextrun"/>
          <w:b/>
          <w:bCs/>
          <w:color w:val="000000"/>
          <w:sz w:val="22"/>
          <w:szCs w:val="22"/>
        </w:rPr>
        <w:t>Prior History:</w:t>
      </w:r>
      <w:r>
        <w:rPr>
          <w:rStyle w:val="tabchar"/>
          <w:rFonts w:ascii="Calibri" w:hAnsi="Calibri" w:cs="Calibri"/>
          <w:color w:val="000000"/>
          <w:sz w:val="22"/>
          <w:szCs w:val="22"/>
        </w:rPr>
        <w:tab/>
      </w:r>
      <w:r>
        <w:rPr>
          <w:rStyle w:val="normaltextrun"/>
          <w:color w:val="000000"/>
          <w:sz w:val="22"/>
          <w:szCs w:val="22"/>
        </w:rPr>
        <w:t>2023-24 (H.5086): Reported favorably; Referred to House Steering Committee</w:t>
      </w:r>
    </w:p>
    <w:p w:rsidR="00B91BDD" w:rsidP="00B91BDD" w:rsidRDefault="00B91BDD" w14:paraId="792B4747" w14:textId="77777777">
      <w:pPr>
        <w:pStyle w:val="paragraph"/>
        <w:spacing w:before="0" w:beforeAutospacing="0" w:after="0" w:afterAutospacing="0"/>
        <w:ind w:left="2160" w:hanging="2160"/>
        <w:jc w:val="both"/>
        <w:textAlignment w:val="baseline"/>
        <w:rPr>
          <w:rFonts w:ascii="Segoe UI" w:hAnsi="Segoe UI" w:cs="Segoe UI"/>
          <w:sz w:val="18"/>
          <w:szCs w:val="18"/>
        </w:rPr>
      </w:pPr>
    </w:p>
    <w:p w:rsidR="00B91BDD" w:rsidP="00B91BDD" w:rsidRDefault="00B91BDD" w14:paraId="2B8ED912"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B91BDD" w:rsidP="00B91BDD" w:rsidRDefault="00B91BDD" w14:paraId="222A624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CURRENT LAW:</w:t>
      </w:r>
      <w:r>
        <w:rPr>
          <w:rStyle w:val="tabchar"/>
          <w:rFonts w:ascii="Calibri" w:hAnsi="Calibri" w:cs="Calibri"/>
          <w:sz w:val="22"/>
          <w:szCs w:val="22"/>
        </w:rPr>
        <w:tab/>
      </w:r>
      <w:r>
        <w:rPr>
          <w:rStyle w:val="eop"/>
          <w:sz w:val="22"/>
          <w:szCs w:val="22"/>
        </w:rPr>
        <w:t> </w:t>
      </w:r>
    </w:p>
    <w:p w:rsidR="00B91BDD" w:rsidP="00B91BDD" w:rsidRDefault="00B91BDD" w14:paraId="4F09165C" w14:textId="77777777">
      <w:pPr>
        <w:pStyle w:val="paragraph"/>
        <w:spacing w:before="0" w:beforeAutospacing="0" w:after="0" w:afterAutospacing="0"/>
        <w:jc w:val="both"/>
        <w:textAlignment w:val="baseline"/>
        <w:rPr>
          <w:rFonts w:ascii="Segoe UI" w:hAnsi="Segoe UI" w:cs="Segoe UI"/>
          <w:sz w:val="18"/>
          <w:szCs w:val="18"/>
        </w:rPr>
      </w:pPr>
      <w:r>
        <w:rPr>
          <w:rStyle w:val="normaltextrun"/>
          <w:i/>
          <w:iCs/>
          <w:sz w:val="22"/>
          <w:szCs w:val="22"/>
        </w:rPr>
        <w:t xml:space="preserve">M.G.L. c. 59 §5 cl. forty-first A – Assessment of local taxes; property, senior deferral: </w:t>
      </w:r>
      <w:r>
        <w:rPr>
          <w:rStyle w:val="normaltextrun"/>
          <w:sz w:val="22"/>
          <w:szCs w:val="22"/>
        </w:rPr>
        <w:t>Under this clause, a taxpayer 65 years or older or their surviving spouse, may defer property taxes on their home if it’s served as their domicile for the past 5 years. The deferral agreement requires: that unpaid taxes plus interest be paid when the real property is sold; that the amount of unpaid taxes plus interest will not exceed 50% of the taxpayer’s share of the property; that the taxpayer’s heirs or assignees will pay the taxes themselves or the taxes will be recovered from the taxpayer’s estate; and that any joint owner or mortgagee agrees to the tax deferment agreement.   </w:t>
      </w:r>
      <w:r>
        <w:rPr>
          <w:rStyle w:val="eop"/>
          <w:sz w:val="22"/>
          <w:szCs w:val="22"/>
        </w:rPr>
        <w:t> </w:t>
      </w:r>
    </w:p>
    <w:p w:rsidR="00B91BDD" w:rsidP="00B91BDD" w:rsidRDefault="00B91BDD" w14:paraId="2AAB95B9" w14:textId="7777777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B91BDD" w:rsidP="00B91BDD" w:rsidRDefault="00B91BDD" w14:paraId="139BACEE"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Deferred taxes are subject to an 8% annual interest rate or such lower rate as set by the municipality’s legislative body. However, when the property is sold or the deferment’s beneficiary dies, the interest rate increases to the rate specified in section 62 of chapter 60—16%. To qualify for the senior deferral, the taxpayer and their spouse, if married, cannot have income in excess $20,000. However, municipalities, via local option, can set a higher maximum income threshold to qualify for the deferral so long as it does not exceed the maximum income threshold to qualify for the senior circuit breaker tax credit ($96,000 in 2022).</w:t>
      </w:r>
      <w:r>
        <w:rPr>
          <w:rStyle w:val="eop"/>
          <w:sz w:val="22"/>
          <w:szCs w:val="22"/>
        </w:rPr>
        <w:t> </w:t>
      </w:r>
    </w:p>
    <w:p w:rsidR="00B91BDD" w:rsidP="00B91BDD" w:rsidRDefault="00B91BDD" w14:paraId="5645EE51" w14:textId="77777777">
      <w:pPr>
        <w:pStyle w:val="paragraph"/>
        <w:spacing w:before="0" w:beforeAutospacing="0" w:after="0" w:afterAutospacing="0"/>
        <w:jc w:val="both"/>
        <w:textAlignment w:val="baseline"/>
        <w:rPr>
          <w:rFonts w:ascii="Segoe UI" w:hAnsi="Segoe UI" w:cs="Segoe UI"/>
          <w:sz w:val="18"/>
          <w:szCs w:val="18"/>
        </w:rPr>
      </w:pPr>
      <w:r>
        <w:rPr>
          <w:rStyle w:val="eop"/>
          <w:sz w:val="17"/>
          <w:szCs w:val="17"/>
        </w:rPr>
        <w:t> </w:t>
      </w:r>
    </w:p>
    <w:p w:rsidR="00B91BDD" w:rsidP="00B91BDD" w:rsidRDefault="00B91BDD" w14:paraId="53D47AA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PROPOSED CHANGE(S):</w:t>
      </w:r>
      <w:r>
        <w:rPr>
          <w:rStyle w:val="normaltextrun"/>
          <w:sz w:val="22"/>
          <w:szCs w:val="22"/>
        </w:rPr>
        <w:t> </w:t>
      </w:r>
      <w:r>
        <w:rPr>
          <w:rStyle w:val="eop"/>
          <w:sz w:val="22"/>
          <w:szCs w:val="22"/>
        </w:rPr>
        <w:t> </w:t>
      </w:r>
    </w:p>
    <w:p w:rsidR="00B91BDD" w:rsidP="00B91BDD" w:rsidRDefault="00B91BDD" w14:paraId="19735C93"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This local option allows the town of Ipswich to increase the income threshold for eligibility for the senior property tax deferral under clause forty-first A. The new threshold would be equal to the maximum income eligible to qualify for the senior circuit breaker tax credit. </w:t>
      </w:r>
      <w:r>
        <w:rPr>
          <w:rStyle w:val="eop"/>
          <w:sz w:val="22"/>
          <w:szCs w:val="22"/>
        </w:rPr>
        <w:t> </w:t>
      </w:r>
    </w:p>
    <w:p w:rsidR="00B91BDD" w:rsidP="00B91BDD" w:rsidRDefault="00B91BDD" w14:paraId="79B33470"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B91BDD" w:rsidP="00B91BDD" w:rsidRDefault="00B91BDD" w14:paraId="6AEFA000"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662994" w:rsidRDefault="00662994" w14:paraId="19ED9476" w14:textId="77777777"/>
    <w:sectPr w:rsidR="0066299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DD"/>
    <w:rsid w:val="00163B58"/>
    <w:rsid w:val="00662994"/>
    <w:rsid w:val="00B91BDD"/>
    <w:rsid w:val="00CE79ED"/>
    <w:rsid w:val="5D7D8ABB"/>
    <w:rsid w:val="6B8C8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1733"/>
  <w15:chartTrackingRefBased/>
  <w15:docId w15:val="{79E1F4E5-8C46-4792-B14D-41F25916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B91BD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91BDD"/>
  </w:style>
  <w:style w:type="character" w:styleId="eop" w:customStyle="1">
    <w:name w:val="eop"/>
    <w:basedOn w:val="DefaultParagraphFont"/>
    <w:rsid w:val="00B91BDD"/>
  </w:style>
  <w:style w:type="character" w:styleId="tabchar" w:customStyle="1">
    <w:name w:val="tabchar"/>
    <w:basedOn w:val="DefaultParagraphFont"/>
    <w:rsid w:val="00B9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1393">
      <w:bodyDiv w:val="1"/>
      <w:marLeft w:val="0"/>
      <w:marRight w:val="0"/>
      <w:marTop w:val="0"/>
      <w:marBottom w:val="0"/>
      <w:divBdr>
        <w:top w:val="none" w:sz="0" w:space="0" w:color="auto"/>
        <w:left w:val="none" w:sz="0" w:space="0" w:color="auto"/>
        <w:bottom w:val="none" w:sz="0" w:space="0" w:color="auto"/>
        <w:right w:val="none" w:sz="0" w:space="0" w:color="auto"/>
      </w:divBdr>
      <w:divsChild>
        <w:div w:id="722755704">
          <w:marLeft w:val="0"/>
          <w:marRight w:val="0"/>
          <w:marTop w:val="0"/>
          <w:marBottom w:val="0"/>
          <w:divBdr>
            <w:top w:val="none" w:sz="0" w:space="0" w:color="auto"/>
            <w:left w:val="none" w:sz="0" w:space="0" w:color="auto"/>
            <w:bottom w:val="none" w:sz="0" w:space="0" w:color="auto"/>
            <w:right w:val="none" w:sz="0" w:space="0" w:color="auto"/>
          </w:divBdr>
        </w:div>
        <w:div w:id="149248420">
          <w:marLeft w:val="0"/>
          <w:marRight w:val="0"/>
          <w:marTop w:val="0"/>
          <w:marBottom w:val="0"/>
          <w:divBdr>
            <w:top w:val="none" w:sz="0" w:space="0" w:color="auto"/>
            <w:left w:val="none" w:sz="0" w:space="0" w:color="auto"/>
            <w:bottom w:val="none" w:sz="0" w:space="0" w:color="auto"/>
            <w:right w:val="none" w:sz="0" w:space="0" w:color="auto"/>
          </w:divBdr>
        </w:div>
        <w:div w:id="154077525">
          <w:marLeft w:val="0"/>
          <w:marRight w:val="0"/>
          <w:marTop w:val="0"/>
          <w:marBottom w:val="0"/>
          <w:divBdr>
            <w:top w:val="none" w:sz="0" w:space="0" w:color="auto"/>
            <w:left w:val="none" w:sz="0" w:space="0" w:color="auto"/>
            <w:bottom w:val="none" w:sz="0" w:space="0" w:color="auto"/>
            <w:right w:val="none" w:sz="0" w:space="0" w:color="auto"/>
          </w:divBdr>
        </w:div>
        <w:div w:id="11417681">
          <w:marLeft w:val="0"/>
          <w:marRight w:val="0"/>
          <w:marTop w:val="0"/>
          <w:marBottom w:val="0"/>
          <w:divBdr>
            <w:top w:val="none" w:sz="0" w:space="0" w:color="auto"/>
            <w:left w:val="none" w:sz="0" w:space="0" w:color="auto"/>
            <w:bottom w:val="none" w:sz="0" w:space="0" w:color="auto"/>
            <w:right w:val="none" w:sz="0" w:space="0" w:color="auto"/>
          </w:divBdr>
        </w:div>
        <w:div w:id="173498724">
          <w:marLeft w:val="0"/>
          <w:marRight w:val="0"/>
          <w:marTop w:val="0"/>
          <w:marBottom w:val="0"/>
          <w:divBdr>
            <w:top w:val="none" w:sz="0" w:space="0" w:color="auto"/>
            <w:left w:val="none" w:sz="0" w:space="0" w:color="auto"/>
            <w:bottom w:val="none" w:sz="0" w:space="0" w:color="auto"/>
            <w:right w:val="none" w:sz="0" w:space="0" w:color="auto"/>
          </w:divBdr>
        </w:div>
        <w:div w:id="1413888621">
          <w:marLeft w:val="0"/>
          <w:marRight w:val="0"/>
          <w:marTop w:val="0"/>
          <w:marBottom w:val="0"/>
          <w:divBdr>
            <w:top w:val="none" w:sz="0" w:space="0" w:color="auto"/>
            <w:left w:val="none" w:sz="0" w:space="0" w:color="auto"/>
            <w:bottom w:val="none" w:sz="0" w:space="0" w:color="auto"/>
            <w:right w:val="none" w:sz="0" w:space="0" w:color="auto"/>
          </w:divBdr>
        </w:div>
        <w:div w:id="2106605109">
          <w:marLeft w:val="0"/>
          <w:marRight w:val="0"/>
          <w:marTop w:val="0"/>
          <w:marBottom w:val="0"/>
          <w:divBdr>
            <w:top w:val="none" w:sz="0" w:space="0" w:color="auto"/>
            <w:left w:val="none" w:sz="0" w:space="0" w:color="auto"/>
            <w:bottom w:val="none" w:sz="0" w:space="0" w:color="auto"/>
            <w:right w:val="none" w:sz="0" w:space="0" w:color="auto"/>
          </w:divBdr>
        </w:div>
        <w:div w:id="246695314">
          <w:marLeft w:val="0"/>
          <w:marRight w:val="0"/>
          <w:marTop w:val="0"/>
          <w:marBottom w:val="0"/>
          <w:divBdr>
            <w:top w:val="none" w:sz="0" w:space="0" w:color="auto"/>
            <w:left w:val="none" w:sz="0" w:space="0" w:color="auto"/>
            <w:bottom w:val="none" w:sz="0" w:space="0" w:color="auto"/>
            <w:right w:val="none" w:sz="0" w:space="0" w:color="auto"/>
          </w:divBdr>
        </w:div>
        <w:div w:id="386950533">
          <w:marLeft w:val="0"/>
          <w:marRight w:val="0"/>
          <w:marTop w:val="0"/>
          <w:marBottom w:val="0"/>
          <w:divBdr>
            <w:top w:val="none" w:sz="0" w:space="0" w:color="auto"/>
            <w:left w:val="none" w:sz="0" w:space="0" w:color="auto"/>
            <w:bottom w:val="none" w:sz="0" w:space="0" w:color="auto"/>
            <w:right w:val="none" w:sz="0" w:space="0" w:color="auto"/>
          </w:divBdr>
        </w:div>
        <w:div w:id="955020036">
          <w:marLeft w:val="0"/>
          <w:marRight w:val="0"/>
          <w:marTop w:val="0"/>
          <w:marBottom w:val="0"/>
          <w:divBdr>
            <w:top w:val="none" w:sz="0" w:space="0" w:color="auto"/>
            <w:left w:val="none" w:sz="0" w:space="0" w:color="auto"/>
            <w:bottom w:val="none" w:sz="0" w:space="0" w:color="auto"/>
            <w:right w:val="none" w:sz="0" w:space="0" w:color="auto"/>
          </w:divBdr>
        </w:div>
        <w:div w:id="369234389">
          <w:marLeft w:val="0"/>
          <w:marRight w:val="0"/>
          <w:marTop w:val="0"/>
          <w:marBottom w:val="0"/>
          <w:divBdr>
            <w:top w:val="none" w:sz="0" w:space="0" w:color="auto"/>
            <w:left w:val="none" w:sz="0" w:space="0" w:color="auto"/>
            <w:bottom w:val="none" w:sz="0" w:space="0" w:color="auto"/>
            <w:right w:val="none" w:sz="0" w:space="0" w:color="auto"/>
          </w:divBdr>
        </w:div>
        <w:div w:id="542910655">
          <w:marLeft w:val="0"/>
          <w:marRight w:val="0"/>
          <w:marTop w:val="0"/>
          <w:marBottom w:val="0"/>
          <w:divBdr>
            <w:top w:val="none" w:sz="0" w:space="0" w:color="auto"/>
            <w:left w:val="none" w:sz="0" w:space="0" w:color="auto"/>
            <w:bottom w:val="none" w:sz="0" w:space="0" w:color="auto"/>
            <w:right w:val="none" w:sz="0" w:space="0" w:color="auto"/>
          </w:divBdr>
        </w:div>
        <w:div w:id="1220820601">
          <w:marLeft w:val="0"/>
          <w:marRight w:val="0"/>
          <w:marTop w:val="0"/>
          <w:marBottom w:val="0"/>
          <w:divBdr>
            <w:top w:val="none" w:sz="0" w:space="0" w:color="auto"/>
            <w:left w:val="none" w:sz="0" w:space="0" w:color="auto"/>
            <w:bottom w:val="none" w:sz="0" w:space="0" w:color="auto"/>
            <w:right w:val="none" w:sz="0" w:space="0" w:color="auto"/>
          </w:divBdr>
        </w:div>
        <w:div w:id="1031418766">
          <w:marLeft w:val="0"/>
          <w:marRight w:val="0"/>
          <w:marTop w:val="0"/>
          <w:marBottom w:val="0"/>
          <w:divBdr>
            <w:top w:val="none" w:sz="0" w:space="0" w:color="auto"/>
            <w:left w:val="none" w:sz="0" w:space="0" w:color="auto"/>
            <w:bottom w:val="none" w:sz="0" w:space="0" w:color="auto"/>
            <w:right w:val="none" w:sz="0" w:space="0" w:color="auto"/>
          </w:divBdr>
        </w:div>
        <w:div w:id="1923025087">
          <w:marLeft w:val="0"/>
          <w:marRight w:val="0"/>
          <w:marTop w:val="0"/>
          <w:marBottom w:val="0"/>
          <w:divBdr>
            <w:top w:val="none" w:sz="0" w:space="0" w:color="auto"/>
            <w:left w:val="none" w:sz="0" w:space="0" w:color="auto"/>
            <w:bottom w:val="none" w:sz="0" w:space="0" w:color="auto"/>
            <w:right w:val="none" w:sz="0" w:space="0" w:color="auto"/>
          </w:divBdr>
        </w:div>
        <w:div w:id="443961442">
          <w:marLeft w:val="0"/>
          <w:marRight w:val="0"/>
          <w:marTop w:val="0"/>
          <w:marBottom w:val="0"/>
          <w:divBdr>
            <w:top w:val="none" w:sz="0" w:space="0" w:color="auto"/>
            <w:left w:val="none" w:sz="0" w:space="0" w:color="auto"/>
            <w:bottom w:val="none" w:sz="0" w:space="0" w:color="auto"/>
            <w:right w:val="none" w:sz="0" w:space="0" w:color="auto"/>
          </w:divBdr>
        </w:div>
        <w:div w:id="1472290980">
          <w:marLeft w:val="0"/>
          <w:marRight w:val="0"/>
          <w:marTop w:val="0"/>
          <w:marBottom w:val="0"/>
          <w:divBdr>
            <w:top w:val="none" w:sz="0" w:space="0" w:color="auto"/>
            <w:left w:val="none" w:sz="0" w:space="0" w:color="auto"/>
            <w:bottom w:val="none" w:sz="0" w:space="0" w:color="auto"/>
            <w:right w:val="none" w:sz="0" w:space="0" w:color="auto"/>
          </w:divBdr>
        </w:div>
        <w:div w:id="239364315">
          <w:marLeft w:val="0"/>
          <w:marRight w:val="0"/>
          <w:marTop w:val="0"/>
          <w:marBottom w:val="0"/>
          <w:divBdr>
            <w:top w:val="none" w:sz="0" w:space="0" w:color="auto"/>
            <w:left w:val="none" w:sz="0" w:space="0" w:color="auto"/>
            <w:bottom w:val="none" w:sz="0" w:space="0" w:color="auto"/>
            <w:right w:val="none" w:sz="0" w:space="0" w:color="auto"/>
          </w:divBdr>
        </w:div>
        <w:div w:id="921833738">
          <w:marLeft w:val="0"/>
          <w:marRight w:val="0"/>
          <w:marTop w:val="0"/>
          <w:marBottom w:val="0"/>
          <w:divBdr>
            <w:top w:val="none" w:sz="0" w:space="0" w:color="auto"/>
            <w:left w:val="none" w:sz="0" w:space="0" w:color="auto"/>
            <w:bottom w:val="none" w:sz="0" w:space="0" w:color="auto"/>
            <w:right w:val="none" w:sz="0" w:space="0" w:color="auto"/>
          </w:divBdr>
        </w:div>
        <w:div w:id="922376716">
          <w:marLeft w:val="0"/>
          <w:marRight w:val="0"/>
          <w:marTop w:val="0"/>
          <w:marBottom w:val="0"/>
          <w:divBdr>
            <w:top w:val="none" w:sz="0" w:space="0" w:color="auto"/>
            <w:left w:val="none" w:sz="0" w:space="0" w:color="auto"/>
            <w:bottom w:val="none" w:sz="0" w:space="0" w:color="auto"/>
            <w:right w:val="none" w:sz="0" w:space="0" w:color="auto"/>
          </w:divBdr>
        </w:div>
        <w:div w:id="778523283">
          <w:marLeft w:val="0"/>
          <w:marRight w:val="0"/>
          <w:marTop w:val="0"/>
          <w:marBottom w:val="0"/>
          <w:divBdr>
            <w:top w:val="none" w:sz="0" w:space="0" w:color="auto"/>
            <w:left w:val="none" w:sz="0" w:space="0" w:color="auto"/>
            <w:bottom w:val="none" w:sz="0" w:space="0" w:color="auto"/>
            <w:right w:val="none" w:sz="0" w:space="0" w:color="auto"/>
          </w:divBdr>
        </w:div>
        <w:div w:id="1690446735">
          <w:marLeft w:val="0"/>
          <w:marRight w:val="0"/>
          <w:marTop w:val="0"/>
          <w:marBottom w:val="0"/>
          <w:divBdr>
            <w:top w:val="none" w:sz="0" w:space="0" w:color="auto"/>
            <w:left w:val="none" w:sz="0" w:space="0" w:color="auto"/>
            <w:bottom w:val="none" w:sz="0" w:space="0" w:color="auto"/>
            <w:right w:val="none" w:sz="0" w:space="0" w:color="auto"/>
          </w:divBdr>
        </w:div>
        <w:div w:id="7886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40F2717D3D04E89C4565B69D19426" ma:contentTypeVersion="16" ma:contentTypeDescription="Create a new document." ma:contentTypeScope="" ma:versionID="05fc910205e1dce11e8893e5a505ed6f">
  <xsd:schema xmlns:xsd="http://www.w3.org/2001/XMLSchema" xmlns:xs="http://www.w3.org/2001/XMLSchema" xmlns:p="http://schemas.microsoft.com/office/2006/metadata/properties" xmlns:ns2="625d6a56-79e6-4cbf-b09f-191fac57f143" xmlns:ns3="adcd3047-c193-4b80-9d8b-1ee3b424a6c8" targetNamespace="http://schemas.microsoft.com/office/2006/metadata/properties" ma:root="true" ma:fieldsID="26301d034fb5a452246e7714a433cd5c" ns2:_="" ns3:_="">
    <xsd:import namespace="625d6a56-79e6-4cbf-b09f-191fac57f143"/>
    <xsd:import namespace="adcd3047-c193-4b80-9d8b-1ee3b424a6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d6a56-79e6-4cbf-b09f-191fac57f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d3047-c193-4b80-9d8b-1ee3b424a6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2508-9839-4b27-9149-ed7bd8b18db2}" ma:internalName="TaxCatchAll" ma:showField="CatchAllData" ma:web="adcd3047-c193-4b80-9d8b-1ee3b424a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cd3047-c193-4b80-9d8b-1ee3b424a6c8" xsi:nil="true"/>
    <lcf76f155ced4ddcb4097134ff3c332f xmlns="625d6a56-79e6-4cbf-b09f-191fac57f1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6E843D-D5DB-47B9-820C-1CA8027A6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d6a56-79e6-4cbf-b09f-191fac57f143"/>
    <ds:schemaRef ds:uri="adcd3047-c193-4b80-9d8b-1ee3b424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D7B03-B557-4695-ABB8-42117EE9FFFE}">
  <ds:schemaRefs>
    <ds:schemaRef ds:uri="http://schemas.microsoft.com/sharepoint/v3/contenttype/forms"/>
  </ds:schemaRefs>
</ds:datastoreItem>
</file>

<file path=customXml/itemProps3.xml><?xml version="1.0" encoding="utf-8"?>
<ds:datastoreItem xmlns:ds="http://schemas.openxmlformats.org/officeDocument/2006/customXml" ds:itemID="{9F43746A-0240-40E8-9E97-DCB7F536834B}">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adcd3047-c193-4b80-9d8b-1ee3b424a6c8"/>
    <ds:schemaRef ds:uri="http://schemas.openxmlformats.org/package/2006/metadata/core-properties"/>
    <ds:schemaRef ds:uri="625d6a56-79e6-4cbf-b09f-191fac57f143"/>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Kalaitzidis, Anestis (HOU)</dc:creator>
  <keywords/>
  <dc:description/>
  <lastModifiedBy>Rivas-Soldz, Gloribel (HOU)</lastModifiedBy>
  <revision>2</revision>
  <dcterms:created xsi:type="dcterms:W3CDTF">2025-05-08T20:46:00.0000000Z</dcterms:created>
  <dcterms:modified xsi:type="dcterms:W3CDTF">2025-05-12T04:59:08.5529278Z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0x010100D7240F2717D3D04E89C4565B69D19426</vt:lpwstr>
  </property>
  <property fmtid="{D5CDD505-2E9C-101B-9397-08002B2CF9AE}" pid="3" name="MediaServiceImageTags">
    <vt:lpwstr/>
  </property>
</Properties>
</file>