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783</w:t>
            </w:r>
          </w:p>
        </w:tc>
      </w:tr>
      <w:tr>
        <w:tc>
          <w:tcPr>
            <w:tcW w:w="2538" w:type="dxa"/>
          </w:tcPr>
          <w:p>
            <w:r>
              <w:rPr>
                <w:b/>
                <w:u w:val="single"/>
              </w:rPr>
              <w:t>TITLE</w:t>
            </w:r>
          </w:p>
        </w:tc>
        <w:tc>
          <w:tcPr>
            <w:tcW w:w="7650" w:type="dxa"/>
          </w:tcPr>
          <w:p>
            <w:pPr>
              <w:spacing w:after="240"/>
            </w:pPr>
            <w:r>
              <w:t>An Act relative to Massachusetts home care eligibility </w:t>
            </w:r>
          </w:p>
        </w:tc>
      </w:tr>
      <w:tr>
        <w:tc>
          <w:tcPr>
            <w:tcW w:w="2538" w:type="dxa"/>
          </w:tcPr>
          <w:p>
            <w:pPr>
              <w:spacing w:after="240"/>
            </w:pPr>
            <w:r>
              <w:rPr>
                <w:b/>
                <w:u w:val="single"/>
              </w:rPr>
              <w:t>SPONSORS</w:t>
            </w:r>
          </w:p>
        </w:tc>
        <w:tc>
          <w:tcPr>
            <w:tcW w:w="7650" w:type="dxa"/>
          </w:tcPr>
          <w:p>
            <w:pPr>
              <w:spacing w:after="240"/>
            </w:pPr>
            <w:r>
              <w:t>Representatives Moran of Boston and Montaño of Boston</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S472, An Act relative to Massachusetts home care eligibility. </w:t>
            </w:r>
          </w:p>
        </w:tc>
      </w:tr>
      <w:tr>
        <w:tc>
          <w:tcPr>
            <w:tcW w:w="10188" w:type="dxa"/>
            <w:gridSpan w:val="2"/>
          </w:tcPr>
          <w:p>
            <w:pPr>
              <w:spacing w:after="240"/>
            </w:pPr>
            <w:r>
              <w:rPr>
                <w:b/>
                <w:u w:val="single"/>
              </w:rPr>
              <w:t>PRIOR HISTORY</w:t>
            </w:r>
          </w:p>
          <w:p>
            <w:pPr>
              <w:pStyle w:val="NormalWeb"/>
              <w:spacing w:line="240" w:lineRule="auto"/>
            </w:pPr>
            <w:r>
              <w:t xml:space="preserve">2023-2024 (H645): Referred to Elder Affairs; reported favorably and referred to the committee on Healthcare Finance. Accompanied S376 and referred to the committee on Senate Ways and Means.   </w:t>
            </w:r>
          </w:p>
          <w:p>
            <w:pPr>
              <w:pStyle w:val="NormalWeb"/>
              <w:spacing w:line="240" w:lineRule="auto"/>
            </w:pPr>
            <w:r>
              <w:t xml:space="preserve">2021-2022 (H752): Referred to Elder Affairs; reported favorably and referred to the committee on Healthcare Finance. Accompanied S405 and referred to committee on Senate Ways and Means.  </w:t>
            </w:r>
          </w:p>
          <w:p>
            <w:pPr>
              <w:pStyle w:val="NormalWeb"/>
              <w:spacing w:line="240" w:lineRule="auto"/>
            </w:pPr>
            <w:r>
              <w:t xml:space="preserve">2019-2020 (H642): Referred to Elder Affairs; reported favorably and referred to the committee on Healthcare Finance. Accompanied S364 and reported ought not to pass.  </w:t>
            </w:r>
          </w:p>
        </w:tc>
      </w:tr>
      <w:tr>
        <w:tc>
          <w:tcPr>
            <w:tcW w:w="10188" w:type="dxa"/>
            <w:gridSpan w:val="2"/>
          </w:tcPr>
          <w:p>
            <w:pPr>
              <w:spacing w:after="240"/>
            </w:pPr>
            <w:r>
              <w:rPr>
                <w:b/>
                <w:u w:val="single"/>
              </w:rPr>
              <w:t>CURRENT LAW</w:t>
            </w:r>
          </w:p>
          <w:p>
            <w:pPr>
              <w:pStyle w:val="NormalWeb"/>
              <w:spacing w:line="240" w:lineRule="auto"/>
            </w:pPr>
            <w:r>
              <w:t xml:space="preserve">M.G.L. c. 19A, §4 grants the Executive Office of Aging and Independence (AGE) the responsibility to plan and coordinate community-based services for older adults, including oversight and designation of non-licensed, nonprofit home care programs. </w:t>
            </w:r>
          </w:p>
        </w:tc>
      </w:tr>
      <w:tr>
        <w:tc>
          <w:tcPr>
            <w:tcW w:w="10188" w:type="dxa"/>
            <w:gridSpan w:val="2"/>
          </w:tcPr>
          <w:p>
            <w:pPr>
              <w:spacing w:after="240"/>
              <w:keepNext/>
              <w:keepLines/>
            </w:pPr>
            <w:r>
              <w:rPr>
                <w:b/>
                <w:u w:val="single"/>
              </w:rPr>
              <w:t>SUMMARY</w:t>
            </w:r>
          </w:p>
          <w:p>
            <w:pPr>
              <w:pStyle w:val="NormalWeb"/>
              <w:spacing w:line="240" w:lineRule="auto"/>
            </w:pPr>
            <w:r>
              <w:t xml:space="preserve">H.783 requires AGE to amend the Massachusetts home care program regulations to expand services to individuals diagnosed with HIV or AIDS, regardless of age, as long as they would otherwise qualify for the home care program.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60940D-AA02-4682-B0B2-C143DB136069}"/>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