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771</w:t>
            </w:r>
          </w:p>
        </w:tc>
      </w:tr>
      <w:tr>
        <w:tc>
          <w:tcPr>
            <w:tcW w:w="2538" w:type="dxa"/>
          </w:tcPr>
          <w:p>
            <w:r>
              <w:rPr>
                <w:b/>
                <w:u w:val="single"/>
              </w:rPr>
              <w:t>TITLE</w:t>
            </w:r>
          </w:p>
        </w:tc>
        <w:tc>
          <w:tcPr>
            <w:tcW w:w="7650" w:type="dxa"/>
          </w:tcPr>
          <w:p>
            <w:pPr>
              <w:spacing w:after="240"/>
            </w:pPr>
            <w:r>
              <w:t>An Act relative to intergenerational community engagement</w:t>
            </w:r>
          </w:p>
        </w:tc>
      </w:tr>
      <w:tr>
        <w:tc>
          <w:tcPr>
            <w:tcW w:w="2538" w:type="dxa"/>
          </w:tcPr>
          <w:p>
            <w:pPr>
              <w:spacing w:after="240"/>
            </w:pPr>
            <w:r>
              <w:rPr>
                <w:b/>
                <w:u w:val="single"/>
              </w:rPr>
              <w:t>SPONSORS</w:t>
            </w:r>
          </w:p>
        </w:tc>
        <w:tc>
          <w:tcPr>
            <w:tcW w:w="7650" w:type="dxa"/>
          </w:tcPr>
          <w:p>
            <w:pPr>
              <w:spacing w:after="240"/>
            </w:pPr>
            <w:r>
              <w:t>Representatives Hong of Lowell, Garry of Dracut, and Montaño of Boston</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10188" w:type="dxa"/>
            <w:gridSpan w:val="2"/>
          </w:tcPr>
          <w:p>
            <w:pPr>
              <w:spacing w:after="240"/>
            </w:pPr>
            <w:r>
              <w:rPr>
                <w:b/>
                <w:u w:val="single"/>
              </w:rPr>
              <w:t>PRIOR HISTORY</w:t>
            </w:r>
          </w:p>
          <w:p>
            <w:pPr>
              <w:pStyle w:val="NormalWeb"/>
              <w:spacing w:line="240" w:lineRule="auto"/>
            </w:pPr>
            <w:r>
              <w:t xml:space="preserve">New File.</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Aging and Independence (AGE) and its authority, regulations, and services provided. </w:t>
            </w:r>
          </w:p>
        </w:tc>
      </w:tr>
      <w:tr>
        <w:tc>
          <w:tcPr>
            <w:tcW w:w="10188" w:type="dxa"/>
            <w:gridSpan w:val="2"/>
          </w:tcPr>
          <w:p>
            <w:pPr>
              <w:spacing w:after="240"/>
              <w:keepNext/>
              <w:keepLines/>
            </w:pPr>
            <w:r>
              <w:rPr>
                <w:b/>
                <w:u w:val="single"/>
              </w:rPr>
              <w:t>SUMMARY</w:t>
            </w:r>
          </w:p>
          <w:p>
            <w:pPr>
              <w:pStyle w:val="NormalWeb"/>
              <w:spacing w:line="240" w:lineRule="auto"/>
            </w:pPr>
            <w:r>
              <w:t xml:space="preserve">Section 1 of H.771 requires AGE to establish and administer a statewide program under a new Section 45 of Chapter 19A to connect volunteers, including students and working adults, with older adults to assist with the following: </w:t>
            </w:r>
          </w:p>
          <w:p>
            <w:pPr>
              <w:pStyle w:val="NormalWeb"/>
              <w:spacing w:line="240" w:lineRule="auto"/>
            </w:pPr>
            <w:r>
              <w:t xml:space="preserve">1. developing technological skills including, but not limited to: using smartphones, video calls or emails; </w:t>
            </w:r>
          </w:p>
          <w:p>
            <w:pPr>
              <w:pStyle w:val="NormalWeb"/>
              <w:spacing w:line="240" w:lineRule="auto"/>
            </w:pPr>
            <w:r>
              <w:t xml:space="preserve">2. assisting with daily tasks such as grocery shopping or other errands; and </w:t>
            </w:r>
          </w:p>
          <w:p>
            <w:pPr>
              <w:pStyle w:val="NormalWeb"/>
              <w:spacing w:line="240" w:lineRule="auto"/>
            </w:pPr>
            <w:r>
              <w:t xml:space="preserve">3. providing companionship through regular visits or activities.  </w:t>
            </w:r>
          </w:p>
          <w:p>
            <w:pPr>
              <w:pStyle w:val="NormalWeb"/>
              <w:spacing w:line="240" w:lineRule="auto"/>
            </w:pPr>
            <w:r>
              <w:t xml:space="preserve">Section 1 also requires AGE to establish senior resources centers within senior living facilities and senior community centers, subject to appropriations. Under the bill, these senior resources centers would be required to provide the following:  </w:t>
            </w:r>
          </w:p>
          <w:p>
            <w:pPr>
              <w:pStyle w:val="NormalWeb"/>
              <w:spacing w:line="240" w:lineRule="auto"/>
            </w:pPr>
            <w:r>
              <w:t xml:space="preserve">1. health services, including basic health check-ups, screenings and preventive care resources for seniors; </w:t>
            </w:r>
          </w:p>
          <w:p>
            <w:pPr>
              <w:pStyle w:val="NormalWeb"/>
              <w:spacing w:line="240" w:lineRule="auto"/>
            </w:pPr>
            <w:r>
              <w:t xml:space="preserve">2. counseling, including mental health support, grief counseling and stress management; </w:t>
            </w:r>
          </w:p>
          <w:p>
            <w:pPr>
              <w:pStyle w:val="NormalWeb"/>
              <w:spacing w:line="240" w:lineRule="auto"/>
            </w:pPr>
            <w:r>
              <w:t xml:space="preserve">3. legal aid, including free or low-cost legal advice on wills, housing rights and elder abuse protection; and  </w:t>
            </w:r>
          </w:p>
          <w:p>
            <w:pPr>
              <w:pStyle w:val="NormalWeb"/>
              <w:spacing w:line="240" w:lineRule="auto"/>
            </w:pPr>
            <w:r>
              <w:t xml:space="preserve">4. workshops, including information sessions on financial literacy, healthy aging and technology usage. </w:t>
            </w:r>
          </w:p>
          <w:p>
            <w:pPr>
              <w:pStyle w:val="NormalWeb"/>
              <w:spacing w:line="240" w:lineRule="auto"/>
            </w:pPr>
            <w:r>
              <w:t xml:space="preserve">Section 1 also requires students who volunteer for the community connect program to be eligible for credit towards community services and requires for AGE to create and distribute community service awards that recognize the community connect program’s volunteers. </w:t>
            </w:r>
          </w:p>
          <w:p>
            <w:pPr>
              <w:pStyle w:val="NormalWeb"/>
              <w:spacing w:line="240" w:lineRule="auto"/>
            </w:pPr>
            <w:r>
              <w:t xml:space="preserve">Section 2 of H.771 requires this act to take effect one year after its passage.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B61572-B527-4C3B-ADFC-D1CFB707AF7E}"/>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