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756</w:t>
            </w:r>
          </w:p>
        </w:tc>
      </w:tr>
      <w:tr>
        <w:tc>
          <w:tcPr>
            <w:tcW w:w="2538" w:type="dxa"/>
          </w:tcPr>
          <w:p>
            <w:r>
              <w:rPr>
                <w:b/>
                <w:u w:val="single"/>
              </w:rPr>
              <w:t>TITLE</w:t>
            </w:r>
          </w:p>
        </w:tc>
        <w:tc>
          <w:tcPr>
            <w:tcW w:w="7650" w:type="dxa"/>
          </w:tcPr>
          <w:p>
            <w:pPr>
              <w:spacing w:after="240"/>
            </w:pPr>
            <w:r>
              <w:t>An Act increasing the penalties for unfair and deceptive actions perpetrated against persons with disabilities and senior citizens</w:t>
            </w:r>
          </w:p>
        </w:tc>
      </w:tr>
      <w:tr>
        <w:tc>
          <w:tcPr>
            <w:tcW w:w="2538" w:type="dxa"/>
          </w:tcPr>
          <w:p>
            <w:pPr>
              <w:spacing w:after="240"/>
            </w:pPr>
            <w:r>
              <w:rPr>
                <w:b/>
                <w:u w:val="single"/>
              </w:rPr>
              <w:t>SPONSORS</w:t>
            </w:r>
          </w:p>
        </w:tc>
        <w:tc>
          <w:tcPr>
            <w:tcW w:w="7650" w:type="dxa"/>
          </w:tcPr>
          <w:p>
            <w:pPr>
              <w:spacing w:after="240"/>
            </w:pPr>
            <w:r>
              <w:t>Representative Ayers of Quincy</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10188" w:type="dxa"/>
            <w:gridSpan w:val="2"/>
          </w:tcPr>
          <w:p>
            <w:pPr>
              <w:spacing w:after="240"/>
            </w:pPr>
            <w:r>
              <w:rPr>
                <w:b/>
                <w:u w:val="single"/>
              </w:rPr>
              <w:t>PRIOR HISTORY</w:t>
            </w:r>
          </w:p>
          <w:p>
            <w:pPr>
              <w:pStyle w:val="NormalWeb"/>
              <w:spacing w:line="240" w:lineRule="auto"/>
            </w:pPr>
            <w:r>
              <w:t xml:space="preserve">2023-2024 (H613): H613 was referred to the committee on Elder Affairs and was reported favorably by the committee. It was referred to the committee on House Ways and Means. No further action was taken. </w:t>
            </w:r>
          </w:p>
          <w:p>
            <w:pPr>
              <w:pStyle w:val="NormalWeb"/>
              <w:spacing w:line="240" w:lineRule="auto"/>
            </w:pPr>
            <w:r>
              <w:t xml:space="preserve">2021-2022 (H723): H723 was referred to the committee on Elder Affairs was reported favorably by the committee. It was referred to the committee on House Ways and Means. No further action was taken. </w:t>
            </w:r>
          </w:p>
        </w:tc>
      </w:tr>
      <w:tr>
        <w:tc>
          <w:tcPr>
            <w:tcW w:w="10188" w:type="dxa"/>
            <w:gridSpan w:val="2"/>
          </w:tcPr>
          <w:p>
            <w:pPr>
              <w:spacing w:after="240"/>
            </w:pPr>
            <w:r>
              <w:rPr>
                <w:b/>
                <w:u w:val="single"/>
              </w:rPr>
              <w:t>CURRENT LAW</w:t>
            </w:r>
          </w:p>
          <w:p>
            <w:pPr>
              <w:pStyle w:val="NormalWeb"/>
              <w:spacing w:line="240" w:lineRule="auto"/>
            </w:pPr>
            <w:r>
              <w:t xml:space="preserve">M.G.L. c. 29 governs state finance, appropriations, and establishes several funds.  </w:t>
            </w:r>
          </w:p>
          <w:p>
            <w:pPr>
              <w:pStyle w:val="NormalWeb"/>
              <w:spacing w:line="240" w:lineRule="auto"/>
            </w:pPr>
            <w:r>
              <w:t xml:space="preserve">M.G.L. c. 93A governs consumer protection. Section 1 provides definitions. M.G.L. c. 93A § 4 imposes civil penalties, to be paid to the Commonwealth, on any person who knew or should have known that they were committing an unfair or deceptive practice in trade or commerce, in violation of c. 93A § 2. </w:t>
            </w:r>
          </w:p>
        </w:tc>
      </w:tr>
      <w:tr>
        <w:tc>
          <w:tcPr>
            <w:tcW w:w="10188" w:type="dxa"/>
            <w:gridSpan w:val="2"/>
          </w:tcPr>
          <w:p>
            <w:pPr>
              <w:spacing w:after="240"/>
              <w:keepNext/>
              <w:keepLines/>
            </w:pPr>
            <w:r>
              <w:rPr>
                <w:b/>
                <w:u w:val="single"/>
              </w:rPr>
              <w:t>SUMMARY</w:t>
            </w:r>
          </w:p>
          <w:p>
            <w:pPr>
              <w:pStyle w:val="NormalWeb"/>
              <w:spacing w:line="240" w:lineRule="auto"/>
            </w:pPr>
            <w:r>
              <w:t xml:space="preserve">SUMMARY </w:t>
            </w:r>
          </w:p>
          <w:p>
            <w:pPr>
              <w:pStyle w:val="NormalWeb"/>
              <w:spacing w:line="240" w:lineRule="auto"/>
            </w:pPr>
            <w:r>
              <w:t xml:space="preserve">H.756 would create the “Senior Citizens and Disabled Persons Abuse Prevention Fund.”. Revenues for the fund would be collected under the consumer protection statute (M.G.L. c. 93A). Funds would be spent to educate older adults and disabled persons about deceptive investment and marketing practices that target these populations, and consumer protection laws. It also allows for courts to consider additional civil penalties for those who violate the consumer protection statute against one or more older adults or persons with disabilities.  </w:t>
            </w:r>
          </w:p>
          <w:p>
            <w:pPr>
              <w:pStyle w:val="NormalWeb"/>
              <w:spacing w:line="240" w:lineRule="auto"/>
            </w:pPr>
            <w:r>
              <w:t xml:space="preserve"> </w:t>
            </w:r>
          </w:p>
          <w:p>
            <w:pPr>
              <w:pStyle w:val="NormalWeb"/>
              <w:spacing w:line="240" w:lineRule="auto"/>
            </w:pPr>
            <w:r>
              <w:t xml:space="preserve">SECTION-BY-SECTION SUMMARY  </w:t>
            </w:r>
          </w:p>
          <w:p>
            <w:pPr>
              <w:pStyle w:val="NormalWeb"/>
              <w:spacing w:line="240" w:lineRule="auto"/>
            </w:pPr>
            <w:r>
              <w:t xml:space="preserve">Section 1 creates a new Section 2OOO under M.G.L. c. 29, establishing the Senior Citizens and Disabled Persons Abuse Prevention Fund. Requires revenues generated from civil penalties under M.G.L. c. 93A § 4 to be deposited into the fund. Requires the funds to be used for the following: </w:t>
            </w:r>
          </w:p>
          <w:p>
            <w:pPr>
              <w:pStyle w:val="NormalWeb"/>
              <w:spacing w:line="240" w:lineRule="auto"/>
            </w:pPr>
            <w:r>
              <w:t xml:space="preserve"> </w:t>
            </w:r>
          </w:p>
          <w:p>
            <w:pPr>
              <w:pStyle w:val="NormalWeb"/>
              <w:spacing w:line="240" w:lineRule="auto"/>
            </w:pPr>
            <w:r>
              <w:t xml:space="preserve">Prepare and distribute educational materials to inform older adults  nd disabled persons about consumer protection laws.  </w:t>
            </w:r>
          </w:p>
          <w:p>
            <w:pPr>
              <w:pStyle w:val="NormalWeb"/>
              <w:spacing w:line="240" w:lineRule="auto"/>
            </w:pPr>
            <w:r>
              <w:t xml:space="preserve">Underwrite educational seminars to explain deceptive investment or marketing practices which have targeted senior citizens and disabled persons. </w:t>
            </w:r>
          </w:p>
          <w:p>
            <w:pPr>
              <w:pStyle w:val="NormalWeb"/>
              <w:spacing w:line="240" w:lineRule="auto"/>
            </w:pPr>
            <w:r>
              <w:t xml:space="preserve"> </w:t>
            </w:r>
          </w:p>
          <w:p>
            <w:pPr>
              <w:pStyle w:val="NormalWeb"/>
              <w:spacing w:line="240" w:lineRule="auto"/>
            </w:pPr>
            <w:r>
              <w:t xml:space="preserve">Section 2 adds "Senior Citizen" and "Persons with disabilities" to the Section 1 (definitions) of 93A.  </w:t>
            </w:r>
          </w:p>
          <w:p>
            <w:pPr>
              <w:pStyle w:val="NormalWeb"/>
              <w:spacing w:line="240" w:lineRule="auto"/>
            </w:pPr>
            <w:r>
              <w:t xml:space="preserve"> </w:t>
            </w:r>
          </w:p>
          <w:p>
            <w:pPr>
              <w:pStyle w:val="NormalWeb"/>
              <w:spacing w:line="240" w:lineRule="auto"/>
            </w:pPr>
            <w:r>
              <w:t xml:space="preserve">Section 3 amends M.G.L. c. 93A § 4 to create a new civil penalty of $2,500 for those violate the consumer protection statute against one or more older adults or persons with disabilities. It also outlines considerations the Judiciary shall take in to potentially impose an additional civil penalty:  </w:t>
            </w:r>
          </w:p>
          <w:p>
            <w:pPr>
              <w:pStyle w:val="NormalWeb"/>
              <w:spacing w:line="240" w:lineRule="auto"/>
            </w:pPr>
            <w:r>
              <w:t xml:space="preserve"> </w:t>
            </w:r>
          </w:p>
          <w:p>
            <w:pPr>
              <w:pStyle w:val="NormalWeb"/>
              <w:spacing w:line="240" w:lineRule="auto"/>
            </w:pPr>
            <w:r>
              <w:t xml:space="preserve">Whether the defendant knew or should have known that their conduct was directed at one or more older adults or persons with disabilities  </w:t>
            </w:r>
          </w:p>
          <w:p>
            <w:pPr>
              <w:pStyle w:val="NormalWeb"/>
              <w:spacing w:line="240" w:lineRule="auto"/>
            </w:pPr>
            <w:r>
              <w:t xml:space="preserve">Whether the defendant’s conduct caused one or more older adults or persons with disabilities to suffer: loss or encumbrance of a primary residence, principal employment, or source of income; substantial loss of property or assets set aside or held for retirement or for personal or family care and maintenance; substantial loss of payments received under a pension or retirement plan or a government benefits program; or assets essential to the health or welfare of the senior citizens or persons with disabilities.    </w:t>
            </w:r>
          </w:p>
          <w:p>
            <w:pPr>
              <w:pStyle w:val="NormalWeb"/>
              <w:spacing w:line="240" w:lineRule="auto"/>
            </w:pPr>
            <w:r>
              <w:t xml:space="preserve">Whether one or more older adults or persons with disabilities are substantially more vulnerable than other members of the public to the defendant’s conduct because of age, poor health or infirmity, impaired understanding, restricted mobility, or disability, and actually suffered substantial physical, emotional or economic damage resulting from the defendant’s conduct.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B597DF-68EB-40EB-8881-F998B1AAEE07}"/>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