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775</w:t>
            </w:r>
          </w:p>
        </w:tc>
      </w:tr>
      <w:tr>
        <w:tc>
          <w:tcPr>
            <w:tcW w:w="2538" w:type="dxa"/>
          </w:tcPr>
          <w:p>
            <w:r>
              <w:rPr>
                <w:b/>
                <w:u w:val="single"/>
              </w:rPr>
              <w:t>TITLE</w:t>
            </w:r>
          </w:p>
        </w:tc>
        <w:tc>
          <w:tcPr>
            <w:tcW w:w="7650" w:type="dxa"/>
          </w:tcPr>
          <w:p>
            <w:pPr>
              <w:spacing w:after="240"/>
            </w:pPr>
            <w:r>
              <w:t>An Act establishing a commission on aging disabled adults</w:t>
            </w:r>
          </w:p>
        </w:tc>
      </w:tr>
      <w:tr>
        <w:tc>
          <w:tcPr>
            <w:tcW w:w="2538" w:type="dxa"/>
          </w:tcPr>
          <w:p>
            <w:pPr>
              <w:spacing w:after="240"/>
            </w:pPr>
            <w:r>
              <w:rPr>
                <w:b/>
                <w:u w:val="single"/>
              </w:rPr>
              <w:t>SPONSORS</w:t>
            </w:r>
          </w:p>
        </w:tc>
        <w:tc>
          <w:tcPr>
            <w:tcW w:w="7650" w:type="dxa"/>
          </w:tcPr>
          <w:p>
            <w:pPr>
              <w:spacing w:after="240"/>
            </w:pPr>
            <w:r>
              <w:t>Representative Lawn of Watertown</w:t>
            </w:r>
          </w:p>
        </w:tc>
      </w:tr>
      <w:tr>
        <w:trPr>
          <w:trHeight w:val="540"/>
        </w:trPr>
        <w:tc>
          <w:tcPr>
            <w:tcW w:w="2538" w:type="dxa"/>
          </w:tcPr>
          <w:p>
            <w:r>
              <w:rPr>
                <w:b/>
                <w:u w:val="single"/>
              </w:rPr>
              <w:t>HEARING DATE</w:t>
            </w:r>
          </w:p>
        </w:tc>
        <w:tc>
          <w:tcPr>
            <w:tcW w:w="7650" w:type="dxa"/>
          </w:tcPr>
          <w:p>
            <w:r>
              <w:t>Tuesday, June 24, 2025</w:t>
              <w:t xml:space="preserve"> at </w:t>
              <w:t>10:00 AM</w:t>
              <w:t xml:space="preserve"> - </w:t>
              <w:t>01:00 PM</w:t>
              <w:t xml:space="preserve">, </w:t>
              <w:t>B-1                                </w:t>
            </w:r>
          </w:p>
        </w:tc>
      </w:tr>
      <w:tr>
        <w:tc>
          <w:tcPr>
            <w:tcW w:w="10188" w:type="dxa"/>
            <w:gridSpan w:val="2"/>
          </w:tcPr>
          <w:p>
            <w:pPr>
              <w:spacing w:after="240"/>
            </w:pPr>
            <w:r>
              <w:rPr>
                <w:b/>
                <w:u w:val="single"/>
              </w:rPr>
              <w:t>CURRENT LAW</w:t>
            </w:r>
          </w:p>
          <w:p>
            <w:pPr>
              <w:pStyle w:val="NormalWeb"/>
              <w:spacing w:line="240" w:lineRule="auto"/>
            </w:pPr>
            <w:r>
              <w:t xml:space="preserve">M.G.L. c. 3 governs the general court.  </w:t>
            </w:r>
          </w:p>
        </w:tc>
      </w:tr>
      <w:tr>
        <w:tc>
          <w:tcPr>
            <w:tcW w:w="10188" w:type="dxa"/>
            <w:gridSpan w:val="2"/>
          </w:tcPr>
          <w:p>
            <w:pPr>
              <w:spacing w:after="240"/>
              <w:keepNext/>
              <w:keepLines/>
            </w:pPr>
            <w:r>
              <w:rPr>
                <w:b/>
                <w:u w:val="single"/>
              </w:rPr>
              <w:t>SUMMARY</w:t>
            </w:r>
          </w:p>
          <w:p>
            <w:pPr>
              <w:pStyle w:val="NormalWeb"/>
              <w:spacing w:line="240" w:lineRule="auto"/>
            </w:pPr>
            <w:r>
              <w:t xml:space="preserve">SUMMARY </w:t>
            </w:r>
          </w:p>
          <w:p>
            <w:pPr>
              <w:pStyle w:val="NormalWeb"/>
              <w:spacing w:line="240" w:lineRule="auto"/>
            </w:pPr>
            <w:r>
              <w:t xml:space="preserve">H.775 creates a special commission to study the aging disabled adult population in the commonwealth. Requires the commission to investigate, analyze and study the health, housing, financial, social, psychosocial and long-term care needs of aging disabled adults and their caregivers and make recommendations to improve access to benefits and services where appropriate and necessary.  </w:t>
            </w:r>
          </w:p>
          <w:p>
            <w:pPr>
              <w:pStyle w:val="NormalWeb"/>
              <w:spacing w:line="240" w:lineRule="auto"/>
            </w:pPr>
            <w:r>
              <w:t xml:space="preserve">SECTION-BY-SECTION SUMMARY  </w:t>
            </w:r>
          </w:p>
          <w:p>
            <w:pPr>
              <w:pStyle w:val="NormalWeb"/>
              <w:spacing w:line="240" w:lineRule="auto"/>
            </w:pPr>
            <w:r>
              <w:t xml:space="preserve">Section 1 creates a new Section 76 in Chapter 3 of the M.G.L.  </w:t>
            </w:r>
          </w:p>
          <w:p>
            <w:pPr>
              <w:pStyle w:val="NormalWeb"/>
              <w:spacing w:line="240" w:lineRule="auto"/>
            </w:pPr>
            <w:r>
              <w:t xml:space="preserve">Subsection (a) creates a special commission to study the aging disabled adult population in the commonwealth and lists the members of the commission to be appointed:  </w:t>
            </w:r>
          </w:p>
          <w:p>
            <w:pPr>
              <w:pStyle w:val="NormalWeb"/>
              <w:spacing w:line="240" w:lineRule="auto"/>
            </w:pPr>
            <w:r>
              <w:t xml:space="preserve">- 1 member of the house of representatives appointed by the speaker of the house, who shall serve as co-chair;  </w:t>
            </w:r>
          </w:p>
          <w:p>
            <w:pPr>
              <w:pStyle w:val="NormalWeb"/>
              <w:spacing w:line="240" w:lineRule="auto"/>
            </w:pPr>
            <w:r>
              <w:t xml:space="preserve">- 1 member of the senate appointed by the senate president, who shall serve as co-chair; </w:t>
            </w:r>
          </w:p>
          <w:p>
            <w:pPr>
              <w:pStyle w:val="NormalWeb"/>
              <w:spacing w:line="240" w:lineRule="auto"/>
            </w:pPr>
            <w:r>
              <w:t xml:space="preserve">- the secretary of the executive office of aging and independence or a designee; </w:t>
            </w:r>
          </w:p>
          <w:p>
            <w:pPr>
              <w:pStyle w:val="NormalWeb"/>
              <w:spacing w:line="240" w:lineRule="auto"/>
            </w:pPr>
            <w:r>
              <w:t xml:space="preserve">- the director of housing and community development or a designee; </w:t>
            </w:r>
          </w:p>
          <w:p>
            <w:pPr>
              <w:pStyle w:val="NormalWeb"/>
              <w:spacing w:line="240" w:lineRule="auto"/>
            </w:pPr>
            <w:r>
              <w:t xml:space="preserve">- the commissioner of public health or a designee; </w:t>
            </w:r>
          </w:p>
          <w:p>
            <w:pPr>
              <w:pStyle w:val="NormalWeb"/>
              <w:spacing w:line="240" w:lineRule="auto"/>
            </w:pPr>
            <w:r>
              <w:t xml:space="preserve">- the director of the LGBT Aging Project or a designee;  </w:t>
            </w:r>
          </w:p>
          <w:p>
            <w:pPr>
              <w:pStyle w:val="NormalWeb"/>
              <w:spacing w:line="240" w:lineRule="auto"/>
            </w:pPr>
            <w:r>
              <w:t xml:space="preserve">- a representative of the National Association on HIV Over Fifty, Inc.;  </w:t>
            </w:r>
          </w:p>
          <w:p>
            <w:pPr>
              <w:pStyle w:val="NormalWeb"/>
              <w:spacing w:line="240" w:lineRule="auto"/>
            </w:pPr>
            <w:r>
              <w:t xml:space="preserve">- the executive director of Mass Home Care or a designee; </w:t>
            </w:r>
          </w:p>
          <w:p>
            <w:pPr>
              <w:pStyle w:val="NormalWeb"/>
              <w:spacing w:line="240" w:lineRule="auto"/>
            </w:pPr>
            <w:r>
              <w:t xml:space="preserve">- the director of AARP Massachusetts or a designee;  </w:t>
            </w:r>
          </w:p>
          <w:p>
            <w:pPr>
              <w:pStyle w:val="NormalWeb"/>
              <w:spacing w:line="240" w:lineRule="auto"/>
            </w:pPr>
            <w:r>
              <w:t xml:space="preserve">- the executive director of the Massachusetts Association of Councils on Aging, Inc. or a designee;  </w:t>
            </w:r>
          </w:p>
          <w:p>
            <w:pPr>
              <w:pStyle w:val="NormalWeb"/>
              <w:spacing w:line="240" w:lineRule="auto"/>
            </w:pPr>
            <w:r>
              <w:t xml:space="preserve">- the director of the Massachusetts Senior Care Association, Inc. or a designee;  </w:t>
            </w:r>
          </w:p>
          <w:p>
            <w:pPr>
              <w:pStyle w:val="NormalWeb"/>
              <w:spacing w:line="240" w:lineRule="auto"/>
            </w:pPr>
            <w:r>
              <w:t xml:space="preserve">- the director of the Home Care Aides Council or a designee;  </w:t>
            </w:r>
          </w:p>
          <w:p>
            <w:pPr>
              <w:pStyle w:val="NormalWeb"/>
              <w:spacing w:line="240" w:lineRule="auto"/>
            </w:pPr>
            <w:r>
              <w:t xml:space="preserve">- 5 members to be appointed by the governor </w:t>
            </w:r>
          </w:p>
          <w:p>
            <w:pPr>
              <w:pStyle w:val="NormalWeb"/>
              <w:spacing w:line="240" w:lineRule="auto"/>
            </w:pPr>
            <w:r>
              <w:t xml:space="preserve">- 1 of whom shall be a member of the Massachusetts bar who practices elder law </w:t>
            </w:r>
          </w:p>
          <w:p>
            <w:pPr>
              <w:pStyle w:val="NormalWeb"/>
              <w:spacing w:line="240" w:lineRule="auto"/>
            </w:pPr>
            <w:r>
              <w:t xml:space="preserve">- 1 of whom shall be an expert in adult disability public policy or research and  </w:t>
            </w:r>
          </w:p>
          <w:p>
            <w:pPr>
              <w:pStyle w:val="NormalWeb"/>
              <w:spacing w:line="240" w:lineRule="auto"/>
            </w:pPr>
            <w:r>
              <w:t xml:space="preserve">- 3 aging disabled adults.   </w:t>
            </w:r>
          </w:p>
          <w:p>
            <w:pPr>
              <w:pStyle w:val="NormalWeb"/>
              <w:spacing w:line="240" w:lineRule="auto"/>
            </w:pPr>
            <w:r>
              <w:t xml:space="preserve">Requires the Governor to appoint at least 1 representative from each of the following areas: Cape Cod, western Massachusetts and central Massachusetts.    </w:t>
            </w:r>
          </w:p>
          <w:p>
            <w:pPr>
              <w:pStyle w:val="NormalWeb"/>
              <w:spacing w:line="240" w:lineRule="auto"/>
            </w:pPr>
            <w:r>
              <w:t xml:space="preserve">Subsection (b) lists the commission's charges:   </w:t>
            </w:r>
          </w:p>
          <w:p>
            <w:pPr>
              <w:pStyle w:val="NormalWeb"/>
              <w:spacing w:line="240" w:lineRule="auto"/>
            </w:pPr>
            <w:r>
              <w:t xml:space="preserve">(i) examine the impact of the commonwealth's policies and regulations on aging disabled adults and make recommendations to ensure equality of access, treatment, care and benefits;  </w:t>
            </w:r>
          </w:p>
          <w:p>
            <w:pPr>
              <w:pStyle w:val="NormalWeb"/>
              <w:spacing w:line="240" w:lineRule="auto"/>
            </w:pPr>
            <w:r>
              <w:t xml:space="preserve">(ii) examine strategies to increase provider awareness of the needs of aging disabled adults and their caregivers and improve the competence of and access to treatment, services and ongoing care, including preventive care;  </w:t>
            </w:r>
          </w:p>
          <w:p>
            <w:pPr>
              <w:pStyle w:val="NormalWeb"/>
              <w:spacing w:line="240" w:lineRule="auto"/>
            </w:pPr>
            <w:r>
              <w:t xml:space="preserve">(iii) assess the funding and programming needed to enhance services to the growing population of aging disabled adults;  </w:t>
            </w:r>
          </w:p>
          <w:p>
            <w:pPr>
              <w:pStyle w:val="NormalWeb"/>
              <w:spacing w:line="240" w:lineRule="auto"/>
            </w:pPr>
            <w:r>
              <w:t xml:space="preserve">(iv) examine best practices for increasing access, reducing isolation, preventing abuse and exploitation, promoting independence and self-determination, strengthening caregiving, eliminating disparities and improving quality of life;  </w:t>
            </w:r>
          </w:p>
          <w:p>
            <w:pPr>
              <w:pStyle w:val="NormalWeb"/>
              <w:spacing w:line="240" w:lineRule="auto"/>
            </w:pPr>
            <w:r>
              <w:t xml:space="preserve">(v) examine whether certain policies and practices, or the absence of certain policies and practice, promote the premature admission of aging disabled adults to institutional care;  </w:t>
            </w:r>
          </w:p>
          <w:p>
            <w:pPr>
              <w:pStyle w:val="NormalWeb"/>
              <w:spacing w:line="240" w:lineRule="auto"/>
            </w:pPr>
            <w:r>
              <w:t xml:space="preserve">(vi) recommend, as appropriate and necessary, lower cost and culturally appropriate home and community-based alternatives to institutional care;  </w:t>
            </w:r>
          </w:p>
          <w:p>
            <w:pPr>
              <w:pStyle w:val="NormalWeb"/>
              <w:spacing w:line="240" w:lineRule="auto"/>
            </w:pPr>
            <w:r>
              <w:t xml:space="preserve">(vii) examine the feasibility of developing statewide training curricula to improve provider competency in the delivery of health, housing and long-term support services to aging disabled adults and their caregivers; and  </w:t>
            </w:r>
          </w:p>
          <w:p>
            <w:pPr>
              <w:pStyle w:val="NormalWeb"/>
              <w:spacing w:line="240" w:lineRule="auto"/>
            </w:pPr>
            <w:r>
              <w:t xml:space="preserve">(viii) examine outreach protocols to reduce apprehension among aging disabled adults and their caregivers of utilizing mainstream providers.	 </w:t>
            </w:r>
          </w:p>
          <w:p>
            <w:pPr>
              <w:pStyle w:val="NormalWeb"/>
              <w:spacing w:line="240" w:lineRule="auto"/>
            </w:pPr>
            <w:r>
              <w:t xml:space="preserve">Subsection (c) requires the commission to consider best policies and practices in other states, and allows the commission to hold regular public meetings, hearings, and forums as it considers necessary.  </w:t>
            </w:r>
          </w:p>
          <w:p>
            <w:pPr>
              <w:pStyle w:val="NormalWeb"/>
              <w:spacing w:line="240" w:lineRule="auto"/>
            </w:pPr>
            <w:r>
              <w:t xml:space="preserve">Subsection (d) allows the commission to accept and solicit funds including any gifts, donations, grants or bequests or any federal funds to further the purposes of this section. Requires for the funds to be deposited in a separate account with the state treasurer, and expended by the commission in accordance with law </w:t>
            </w:r>
          </w:p>
          <w:p>
            <w:pPr>
              <w:pStyle w:val="NormalWeb"/>
              <w:spacing w:line="240" w:lineRule="auto"/>
            </w:pPr>
            <w:r>
              <w:t xml:space="preserve">Subsection (e) requires the commission to submit a report on its activities and findings, including any recommendations, to the governor, the clerks of the house of representatives and the senate and the house and senate chairs of the joint committee on elder affairs and file at least 1 report by December 31 in even-numbered years.</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CE6B73-14E8-43DB-BDF4-69EE3A1455C6}"/>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