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PEOPLE WITH DISABILITIES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28"/>
          <w:szCs w:val="28"/>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H.235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establishing a bill of rights for children in foster care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 </w:t>
      </w:r>
      <w:r w:rsidDel="00000000" w:rsidR="00000000" w:rsidRPr="00000000">
        <w:rPr>
          <w:rFonts w:ascii="Times New Roman" w:cs="Times New Roman" w:eastAsia="Times New Roman" w:hAnsi="Times New Roman"/>
          <w:rtl w:val="0"/>
        </w:rPr>
        <w:t xml:space="preserve">Rep. Michael J. Finn (</w:t>
      </w:r>
      <w:r w:rsidDel="00000000" w:rsidR="00000000" w:rsidRPr="00000000">
        <w:rPr>
          <w:rFonts w:ascii="Times New Roman" w:cs="Times New Roman" w:eastAsia="Times New Roman" w:hAnsi="Times New Roman"/>
          <w:i w:val="1"/>
          <w:rtl w:val="0"/>
        </w:rPr>
        <w:t xml:space="preserve">West Springfield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July 8, 2025</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6, 2025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(H.164): Reported Favorably; Accompanied S.2803; Referred to SWM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S.107 (Sen. Joanne M. Comerford – Identical)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 </w:t>
      </w:r>
      <w:r w:rsidDel="00000000" w:rsidR="00000000" w:rsidRPr="00000000">
        <w:rPr>
          <w:rFonts w:ascii="Times New Roman" w:cs="Times New Roman" w:eastAsia="Times New Roman" w:hAnsi="Times New Roman"/>
          <w:rtl w:val="0"/>
        </w:rPr>
        <w:t xml:space="preserve">M.G.L. c. 119 -</w:t>
      </w:r>
      <w:r w:rsidDel="00000000" w:rsidR="00000000" w:rsidRPr="00000000">
        <w:rPr>
          <w:rFonts w:ascii="Times New Roman" w:cs="Times New Roman" w:eastAsia="Times New Roman" w:hAnsi="Times New Roman"/>
          <w:i w:val="1"/>
          <w:rtl w:val="0"/>
        </w:rPr>
        <w:t xml:space="preserve"> Protection and Care of Children, and Proceedings Against Them:</w:t>
      </w:r>
      <w:r w:rsidDel="00000000" w:rsidR="00000000" w:rsidRPr="00000000">
        <w:rPr>
          <w:rFonts w:ascii="Times New Roman" w:cs="Times New Roman" w:eastAsia="Times New Roman" w:hAnsi="Times New Roman"/>
          <w:rtl w:val="0"/>
        </w:rPr>
        <w:t xml:space="preserve"> This chapter discusses the policies, rights, and protections that are put in place against the absence, inability, inadequacy, or destructive behavior of parents or parent substitutes. It tasks the Department of Children and Families (DCF) to represent the best interests of the child in all of its matters and decisions. Additionally, it outlines the procedures for removing a child from their home and placing them into the care of DCF.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r>
      <w:r w:rsidDel="00000000" w:rsidR="00000000" w:rsidRPr="00000000">
        <w:rPr>
          <w:rFonts w:ascii="Times New Roman" w:cs="Times New Roman" w:eastAsia="Times New Roman" w:hAnsi="Times New Roman"/>
          <w:rtl w:val="0"/>
        </w:rPr>
        <w:t xml:space="preserve"> This bill amends Section 23D, to M.G.L. c. 119 by adding a new section to establish a Bill of Rights for children in foster care which DCF is required to present to children in foster care at specific times, such as when the child enters care and during foster care review and permanency planning meetings. It’s required to be in simple and plain language and be presented within 3 months of the effective date of the statute. DCF must also give a copy of the Bill of Rights to a child’s attorney, display the bill in the area offices, post it on its website and translate the bill into any language spoken by the child.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Bill of Rights shall include provisions on: </w:t>
      </w:r>
    </w:p>
    <w:p w:rsidR="00000000" w:rsidDel="00000000" w:rsidP="00000000" w:rsidRDefault="00000000" w:rsidRPr="00000000" w14:paraId="00000011">
      <w:pPr>
        <w:numPr>
          <w:ilvl w:val="0"/>
          <w:numId w:val="3"/>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Safety and security including the right to be treated with respect and dignity; have their privacy and personal space respected with allowance for safety; not to be discriminated or physically hurt by others on the basis of protected identities (such as race or religion); access to food, clothing, personal care products, and culturally and religiously appropriate items; autonomy to all pictures taken of themselves as appropriate; placement in a safe and nurturing environment that meets their needs, addresses their trauma history, is most similar to the home of origin, and is gender-affirming; and, whenever possible, access to age-appropriate information about a foster family or program before being placed and advance notice to the child and their attorney of any placement changes.  </w:t>
      </w:r>
    </w:p>
    <w:p w:rsidR="00000000" w:rsidDel="00000000" w:rsidP="00000000" w:rsidRDefault="00000000" w:rsidRPr="00000000" w14:paraId="00000012">
      <w:pPr>
        <w:numPr>
          <w:ilvl w:val="0"/>
          <w:numId w:val="4"/>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Connections to the family, community, and identity including the right to develop one’s identities and to a placement that provides or maintains the connections necessary to develop these identities, including gender identity; to maintain all the languages the child speaks; to have parents, relatives, or known adults prioritized as placement providers; to have DCF first consider placements with siblings or half-siblings also removed from the home; to have family time to preserve connections consistent with the developmental needs of the child; to maintain contact with family members and others in the child’s life; and to be treated as a family member in a foster family and participate in daily activities appropriate to the child’s age and trauma history.  </w:t>
      </w:r>
    </w:p>
    <w:p w:rsidR="00000000" w:rsidDel="00000000" w:rsidP="00000000" w:rsidRDefault="00000000" w:rsidRPr="00000000" w14:paraId="00000013">
      <w:pPr>
        <w:numPr>
          <w:ilvl w:val="0"/>
          <w:numId w:val="7"/>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Health care and accessibility including the right to appropriate, timely, and gender-affirming medical, reproductive, dental, vision, mental and behavioral health services; discuss any concerns the child has related to medication; and out-of-home placements that are accessible for a child with a disability.  </w:t>
      </w:r>
    </w:p>
    <w:p w:rsidR="00000000" w:rsidDel="00000000" w:rsidP="00000000" w:rsidRDefault="00000000" w:rsidRPr="00000000" w14:paraId="00000014">
      <w:pPr>
        <w:numPr>
          <w:ilvl w:val="0"/>
          <w:numId w:val="1"/>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Education, employment and social connections including the right to school, educational stability, and an education that fits the child’s needs; to be placed in a school nearby the child’s home or stay in their school of origin unless doing so would not be in the child’s best interest; to participate in age-appropriate activities; to achieve developmentally and religiously-appropriate milestones, including obtaining a driver’s license, participating in religious ceremonies, opening a bank account, birthday celebrations or graduations; to be informed of any educational, vocational, or employment supports and all available services offered to children in foster care; and age-appropriate education through DCF on financial preparedness, job readiness, appropriate use of social media, education options, healthy relationships, and their health (physical, mental, sexual, and reproductive).  </w:t>
      </w:r>
    </w:p>
    <w:p w:rsidR="00000000" w:rsidDel="00000000" w:rsidP="00000000" w:rsidRDefault="00000000" w:rsidRPr="00000000" w14:paraId="00000015">
      <w:pPr>
        <w:numPr>
          <w:ilvl w:val="0"/>
          <w:numId w:val="2"/>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Resources and supports including the right to access a caseworker; 24/7 access to an emergency number for a department staffer during non-business hours; to participate in the development and review of service, visitation, and education plans, with children ages 14 or older allowed to sign off on the plans; to be informed in a developmentally-appropriate way of the meaning of all the documents they are asked to sign, upon review of their attorney; to participate in foster care review permanency, and lead agency team meetings except for the discussion of confidential information regarding a previous or future guardian, if the child is 14 years old or older; to provide input to DCF regarding placement or permanency prior to a final decision and request or object the participation of their foster parents in foster care review meetings; to be notified of court dates and understand rights related to speaking in court; to be informed in an age-appropriate way of the reasons why the child came into care and be offered support to address any trauma that arises; developmentally-appropriate access to medical, dental, and educational records and any personal documents held by DCF, including the right to obtain updated documents and records upon leaving DCF that reflect the child’s gender marker and name change, if applicable; to have an attorney and meaningful contact with said attorney; to be informed if DCF applies for any benefits on the child’s behalf, which shall be preserved in an interest-bearing account belonging to the child; and to be informed of clothing, birthday, and holiday payments made to foster parents and placement providers.  </w:t>
      </w:r>
    </w:p>
    <w:p w:rsidR="00000000" w:rsidDel="00000000" w:rsidP="00000000" w:rsidRDefault="00000000" w:rsidRPr="00000000" w14:paraId="00000016">
      <w:pPr>
        <w:numPr>
          <w:ilvl w:val="0"/>
          <w:numId w:val="5"/>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Transition aged youth including the right to leave and enter care under DCF for any reason through a Voluntary Placement Agreement upon turning 18 years old, until they reach 23 years of age; to begin transition planning at age 14 and to have a transition plan at least one year prior to turning 18 years old; to not be made homeless or redirected to a shelter by DCF upon turning 18; to not be discharged due to receiving services from other state agencies or an arrest without a conviction; and to be informed of all resources and supports available, including housing, educational, and vocational supports.  </w:t>
      </w:r>
    </w:p>
    <w:p w:rsidR="00000000" w:rsidDel="00000000" w:rsidP="00000000" w:rsidRDefault="00000000" w:rsidRPr="00000000" w14:paraId="00000017">
      <w:pPr>
        <w:numPr>
          <w:ilvl w:val="0"/>
          <w:numId w:val="6"/>
        </w:numPr>
        <w:pBdr>
          <w:top w:color="auto" w:space="0" w:sz="0" w:val="none"/>
          <w:left w:color="auto" w:space="0" w:sz="0" w:val="none"/>
          <w:bottom w:color="auto" w:space="0" w:sz="0" w:val="none"/>
          <w:right w:color="auto" w:space="0" w:sz="0" w:val="none"/>
          <w:between w:color="auto" w:space="0" w:sz="0" w:val="none"/>
        </w:pBdr>
        <w:ind w:left="108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Remedies include the right to have these rights enforced without retaliation from DCF and the ability to contact DCF’s ombudsperson and the Office of the Child Advocate with a complaint including violating provisions of this Act.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rights shall be obligations of DCF and are not an exhaustive list of rights a child under DCF care is entitled to. The DCF Commissioner shall submit an annual report to relevant legislative partners on the number, types, and nature of complaints or alleged violations received pursuant to this Act.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5"/>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6"/>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7"/>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3"/>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