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JOINT COMMITTEE ON CHILDREN, FAMILIES AND PEOPLE WITH DISABILITIES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2025-2026 (194</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rtl w:val="0"/>
        </w:rPr>
        <w:t xml:space="preserve">) BILL SUMMARY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Bill Number: </w:t>
      </w:r>
      <w:r w:rsidDel="00000000" w:rsidR="00000000" w:rsidRPr="00000000">
        <w:rPr>
          <w:rFonts w:ascii="Times New Roman" w:cs="Times New Roman" w:eastAsia="Times New Roman" w:hAnsi="Times New Roman"/>
          <w:rtl w:val="0"/>
        </w:rPr>
        <w:t xml:space="preserve">H.265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6">
      <w:pPr>
        <w:pBdr>
          <w:top w:color="auto" w:space="0" w:sz="0" w:val="none"/>
          <w:left w:color="auto" w:space="-108"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Title: </w:t>
      </w:r>
      <w:r w:rsidDel="00000000" w:rsidR="00000000" w:rsidRPr="00000000">
        <w:rPr>
          <w:rFonts w:ascii="Times New Roman" w:cs="Times New Roman" w:eastAsia="Times New Roman" w:hAnsi="Times New Roman"/>
          <w:rtl w:val="0"/>
        </w:rPr>
        <w:t xml:space="preserve">An Act regarding families and children in need of assistance</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7">
      <w:pPr>
        <w:pBdr>
          <w:top w:color="auto" w:space="0" w:sz="0" w:val="none"/>
          <w:left w:color="auto" w:space="-108" w:sz="0" w:val="none"/>
          <w:bottom w:color="auto" w:space="0" w:sz="0" w:val="none"/>
          <w:right w:color="auto" w:space="0" w:sz="0" w:val="none"/>
          <w:between w:color="auto" w:space="0" w:sz="0" w:val="none"/>
        </w:pBdr>
        <w:ind w:left="4320" w:hanging="21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Sponsor: </w:t>
      </w:r>
      <w:r w:rsidDel="00000000" w:rsidR="00000000" w:rsidRPr="00000000">
        <w:rPr>
          <w:rFonts w:ascii="Times New Roman" w:cs="Times New Roman" w:eastAsia="Times New Roman" w:hAnsi="Times New Roman"/>
          <w:rtl w:val="0"/>
        </w:rPr>
        <w:t xml:space="preserve">Rep. Rita A. Mendes </w:t>
      </w:r>
      <w:r w:rsidDel="00000000" w:rsidR="00000000" w:rsidRPr="00000000">
        <w:rPr>
          <w:rFonts w:ascii="Times New Roman" w:cs="Times New Roman" w:eastAsia="Times New Roman" w:hAnsi="Times New Roman"/>
          <w:i w:val="1"/>
          <w:rtl w:val="0"/>
        </w:rPr>
        <w:t xml:space="preserve">(Brockton)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Hearing Date: </w:t>
      </w:r>
      <w:r w:rsidDel="00000000" w:rsidR="00000000" w:rsidRPr="00000000">
        <w:rPr>
          <w:rFonts w:ascii="Times New Roman" w:cs="Times New Roman" w:eastAsia="Times New Roman" w:hAnsi="Times New Roman"/>
          <w:rtl w:val="0"/>
        </w:rPr>
        <w:t xml:space="preserve">July 8, 2025</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 Deadline: </w:t>
      </w:r>
      <w:r w:rsidDel="00000000" w:rsidR="00000000" w:rsidRPr="00000000">
        <w:rPr>
          <w:rFonts w:ascii="Times New Roman" w:cs="Times New Roman" w:eastAsia="Times New Roman" w:hAnsi="Times New Roman"/>
          <w:rtl w:val="0"/>
        </w:rPr>
        <w:t xml:space="preserve">September 6, 2025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E">
      <w:pPr>
        <w:pBdr>
          <w:top w:color="auto" w:space="0" w:sz="0" w:val="none"/>
          <w:left w:color="auto" w:space="-36"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History: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2023-24 (H.134): Accompanied S.101; Reported favorably; Referred to SWM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1">
      <w:pPr>
        <w:pBdr>
          <w:top w:color="auto" w:space="0" w:sz="0" w:val="none"/>
          <w:left w:color="auto" w:space="-108"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Similar Matters: </w:t>
      </w:r>
      <w:r w:rsidDel="00000000" w:rsidR="00000000" w:rsidRPr="00000000">
        <w:rPr>
          <w:rFonts w:ascii="Times New Roman" w:cs="Times New Roman" w:eastAsia="Times New Roman" w:hAnsi="Times New Roman"/>
          <w:rtl w:val="0"/>
        </w:rPr>
        <w:t xml:space="preserve">S.141 (Sen. Robyn K Kennedy – identical)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2">
      <w:pPr>
        <w:pBdr>
          <w:top w:color="auto" w:space="0" w:sz="0" w:val="none"/>
          <w:left w:color="auto" w:space="-108" w:sz="0" w:val="none"/>
          <w:bottom w:color="auto" w:space="0" w:sz="0" w:val="none"/>
          <w:right w:color="auto" w:space="0" w:sz="0" w:val="none"/>
          <w:between w:color="auto" w:space="0" w:sz="0" w:val="none"/>
        </w:pBdr>
        <w:ind w:left="4320" w:hanging="21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CURRENT LAW: </w:t>
      </w:r>
      <w:r w:rsidDel="00000000" w:rsidR="00000000" w:rsidRPr="00000000">
        <w:rPr>
          <w:rFonts w:ascii="Times New Roman" w:cs="Times New Roman" w:eastAsia="Times New Roman" w:hAnsi="Times New Roman"/>
          <w:rtl w:val="0"/>
        </w:rPr>
        <w:t xml:space="preserve">M.G.L c. 4, §7 - </w:t>
      </w:r>
      <w:r w:rsidDel="00000000" w:rsidR="00000000" w:rsidRPr="00000000">
        <w:rPr>
          <w:rFonts w:ascii="Times New Roman" w:cs="Times New Roman" w:eastAsia="Times New Roman" w:hAnsi="Times New Roman"/>
          <w:i w:val="1"/>
          <w:rtl w:val="0"/>
        </w:rPr>
        <w:t xml:space="preserve">Statues; Definitions of statutory terms; statutory construction: </w:t>
      </w:r>
      <w:r w:rsidDel="00000000" w:rsidR="00000000" w:rsidRPr="00000000">
        <w:rPr>
          <w:rFonts w:ascii="Times New Roman" w:cs="Times New Roman" w:eastAsia="Times New Roman" w:hAnsi="Times New Roman"/>
          <w:rtl w:val="0"/>
        </w:rPr>
        <w:t xml:space="preserve">This section plays a crucial role in defining terms and legal interpretations and standards. It defines terms to be used throughout the chapter including "Veteran," "Public records," and "Municipality".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definition of public record is pertinent to this bill. it is defined as any form of data created or received by public employees or entities funded by public money. It also clarifies exemptions for public records including privacy, security, business, policy making and more. Lastly, it defines the appeal process if a request is denied.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M.G.L. c.6A, §16U -</w:t>
      </w:r>
      <w:r w:rsidDel="00000000" w:rsidR="00000000" w:rsidRPr="00000000">
        <w:rPr>
          <w:rFonts w:ascii="Times New Roman" w:cs="Times New Roman" w:eastAsia="Times New Roman" w:hAnsi="Times New Roman"/>
          <w:i w:val="1"/>
          <w:rtl w:val="0"/>
        </w:rPr>
        <w:t xml:space="preserve"> Executive Offices; Network of community-based services and family resource centers: </w:t>
      </w:r>
      <w:r w:rsidDel="00000000" w:rsidR="00000000" w:rsidRPr="00000000">
        <w:rPr>
          <w:rFonts w:ascii="Times New Roman" w:cs="Times New Roman" w:eastAsia="Times New Roman" w:hAnsi="Times New Roman"/>
          <w:rtl w:val="0"/>
        </w:rPr>
        <w:t xml:space="preserve">Defines terms used in the chapter and sets up a system across Massachusetts to help families and children (especially those at risk of expulsion, truancy, or behavior-related school issues) get community-based services including counseling, mental health care and crisis intervention instead of defaulting to court or punitive action.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§16R - </w:t>
      </w:r>
      <w:r w:rsidDel="00000000" w:rsidR="00000000" w:rsidRPr="00000000">
        <w:rPr>
          <w:rFonts w:ascii="Times New Roman" w:cs="Times New Roman" w:eastAsia="Times New Roman" w:hAnsi="Times New Roman"/>
          <w:i w:val="1"/>
          <w:rtl w:val="0"/>
        </w:rPr>
        <w:t xml:space="preserve">Interagency review team for complex cases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Creates an interagency review team for complex cases for young people under 22 who have disabilities or significant behavioral health needs who need services from multiple state agencies.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M.G.L. c.18C - </w:t>
      </w:r>
      <w:r w:rsidDel="00000000" w:rsidR="00000000" w:rsidRPr="00000000">
        <w:rPr>
          <w:rFonts w:ascii="Times New Roman" w:cs="Times New Roman" w:eastAsia="Times New Roman" w:hAnsi="Times New Roman"/>
          <w:i w:val="1"/>
          <w:rtl w:val="0"/>
        </w:rPr>
        <w:t xml:space="preserve">Office of the Child Advocate:</w:t>
      </w:r>
      <w:r w:rsidDel="00000000" w:rsidR="00000000" w:rsidRPr="00000000">
        <w:rPr>
          <w:rFonts w:ascii="Times New Roman" w:cs="Times New Roman" w:eastAsia="Times New Roman" w:hAnsi="Times New Roman"/>
          <w:rtl w:val="0"/>
        </w:rPr>
        <w:t xml:space="preserve"> Establishes the Office of the Child Advocate and their respective duties.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M.G.L. c.69, §10 -</w:t>
      </w:r>
      <w:r w:rsidDel="00000000" w:rsidR="00000000" w:rsidRPr="00000000">
        <w:rPr>
          <w:rFonts w:ascii="Times New Roman" w:cs="Times New Roman" w:eastAsia="Times New Roman" w:hAnsi="Times New Roman"/>
          <w:i w:val="1"/>
          <w:rtl w:val="0"/>
        </w:rPr>
        <w:t xml:space="preserve"> Powers and Duties of the Department of Elementary and Secondary Education; Reimbursement for expenditures: </w:t>
      </w:r>
      <w:r w:rsidDel="00000000" w:rsidR="00000000" w:rsidRPr="00000000">
        <w:rPr>
          <w:rFonts w:ascii="Times New Roman" w:cs="Times New Roman" w:eastAsia="Times New Roman" w:hAnsi="Times New Roman"/>
          <w:rtl w:val="0"/>
        </w:rPr>
        <w:t xml:space="preserve">Establishes that school districts can receive reimbursement for the costs of running courses established under Sections 9 and 9A, as long as those courses are approved by the department.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M.G.L. c.71, §37H - Public Schools; Policies relative to conduct of teachers or students; student handbooks: </w:t>
      </w:r>
      <w:r w:rsidDel="00000000" w:rsidR="00000000" w:rsidRPr="00000000">
        <w:rPr>
          <w:rFonts w:ascii="Times New Roman" w:cs="Times New Roman" w:eastAsia="Times New Roman" w:hAnsi="Times New Roman"/>
          <w:rtl w:val="0"/>
        </w:rPr>
        <w:t xml:space="preserve">Establishes policies relative to conduct in public schools.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§37H1/2: Felony complaint or conviction of student; suspension; expulsion; right to appeal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Outlines what schools must do if a student is charged or convicted with a felony.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M.G.L. c.119 - </w:t>
      </w:r>
      <w:r w:rsidDel="00000000" w:rsidR="00000000" w:rsidRPr="00000000">
        <w:rPr>
          <w:rFonts w:ascii="Times New Roman" w:cs="Times New Roman" w:eastAsia="Times New Roman" w:hAnsi="Times New Roman"/>
          <w:i w:val="1"/>
          <w:rtl w:val="0"/>
        </w:rPr>
        <w:t xml:space="preserve">Protection and Care of Children and Proceedings against them;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 </w:t>
      </w:r>
      <w:r w:rsidDel="00000000" w:rsidR="00000000" w:rsidRPr="00000000">
        <w:rPr>
          <w:rFonts w:ascii="Times New Roman" w:cs="Times New Roman" w:eastAsia="Times New Roman" w:hAnsi="Times New Roman"/>
          <w:i w:val="1"/>
          <w:rtl w:val="0"/>
        </w:rPr>
        <w:t xml:space="preserve">Definitions applicable to Secs. 21 to 51H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Establishes the definitions used in the chapter including but not limited to “Mandated reporter”, and ''Serious bodily injury''.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 </w:t>
      </w:r>
      <w:r w:rsidDel="00000000" w:rsidR="00000000" w:rsidRPr="00000000">
        <w:rPr>
          <w:rFonts w:ascii="Times New Roman" w:cs="Times New Roman" w:eastAsia="Times New Roman" w:hAnsi="Times New Roman"/>
          <w:i w:val="1"/>
          <w:rtl w:val="0"/>
        </w:rPr>
        <w:t xml:space="preserve">Procedure to commit child to custody or other disposition; notice and summons; emergency order transferring custody; investigation; abandoned children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Establishes the process of filing a petition in juvenile court for a child’s care and protection case.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§39E -</w:t>
      </w:r>
      <w:r w:rsidDel="00000000" w:rsidR="00000000" w:rsidRPr="00000000">
        <w:rPr>
          <w:rFonts w:ascii="Times New Roman" w:cs="Times New Roman" w:eastAsia="Times New Roman" w:hAnsi="Times New Roman"/>
          <w:i w:val="1"/>
          <w:rtl w:val="0"/>
        </w:rPr>
        <w:t xml:space="preserve"> Petitions seeking determination that child is in need of services; jurisdiction; standing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Establishes the Child Requiring Assistance (CRA) process.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§39G: Hearing; determination of child requiring assistance.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Establishes what happens in a hearing in the CRA process.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§51A: Reporting of suspected abuse or neglect; mandated reporters; collection of physical evidence; penalties; content of reports; liability; privileged communication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Outlines the requirements for mandatory reporting of child abuse, sexual exploitation, emotional or physical injury, human trafficking or neglect by designated mandated reporters including but not limited to teachers, doctors and social workers.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Summary: </w:t>
      </w:r>
      <w:r w:rsidDel="00000000" w:rsidR="00000000" w:rsidRPr="00000000">
        <w:rPr>
          <w:rFonts w:ascii="Times New Roman" w:cs="Times New Roman" w:eastAsia="Times New Roman" w:hAnsi="Times New Roman"/>
          <w:rtl w:val="0"/>
        </w:rPr>
        <w:t xml:space="preserve">SECTION 1: The bill strikes and replaces M.G.L. c.6A, §16U.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new language includes the old definitions while adding the terms below:     </w:t>
      </w:r>
    </w:p>
    <w:p w:rsidR="00000000" w:rsidDel="00000000" w:rsidP="00000000" w:rsidRDefault="00000000" w:rsidRPr="00000000" w14:paraId="00000034">
      <w:pPr>
        <w:numPr>
          <w:ilvl w:val="0"/>
          <w:numId w:val="13"/>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“Chronic absenteeism” is missing greater than 10% of school days, regardless of the reason.     </w:t>
      </w:r>
    </w:p>
    <w:p w:rsidR="00000000" w:rsidDel="00000000" w:rsidP="00000000" w:rsidRDefault="00000000" w:rsidRPr="00000000" w14:paraId="00000035">
      <w:pPr>
        <w:numPr>
          <w:ilvl w:val="0"/>
          <w:numId w:val="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''Family requiring assistance'' was amended to mean, a parent, guardian, custodian, sibling and any relative or caretaker meeting one or more of the following criteria: (1) at elevated risk of being the subject of a petition under Chapter 119 Section 24; (2) responsible for a child at risk of being the subject of a petition under Chapter 119 Section 39E.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2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bill adds this requirement that state funded services the child may be eligible for include services under the Executive Office of Health and Human Services (EOHHS), the Executive Office of Education (EOE), and the Executive Office of Housing and Livable Communities (EOHLC) and adds a requirement that there are reasonable accommodations for persons with disabilities. It also expands data collection systems to create a data collection system to protect privacy of the client and track insurance, services, needs, and outcomes.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the bill adds a requirement of an annual report to relevant legislative partners including, but not limited to:  (i) the number of children and families served at each center; (ii) service needs; (iii) types of services offered in house and by referral; (iv) service outcomes; (v) service gaps; (vi) client feedback; (vii) the number of children served by a multidisciplinary team; and (viii) the number of children referred to a Juvenile Court for a CRA petition following a multidisciplinary team process. All data shall be disaggregated by the child’s race, ethnicity, gender, and age.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2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bill requires assistance when applying for state services including MassHealth, financial assistance programs including Supplemental Security Income and services provided or funded by the executive branch, substance use treatment, adding to the list of services offered through the network.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2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bill adds that subject to appropriation, each Family Resource Center (FRC) will assess a child and family to help identify what services are needed and to navigate the system in order to help the families or child receive those services. If the case is more complex, an interagency team or multidisciplinary team can be established. A case manager will not refer a family to the Juvenile Court unless all other resources have been exhausted.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bill also adds that the Secretary of EOHHS shall issue guidance to effectuate the purposes of this section. Lastly, the bill adds a requirement that the school must make and document efforts to identify and address potential causes of chronic absenteeism, including but not limited to previously unidentified or inadequately addressed special educational needs, behavioral health needs, bullying, and harassment, before referring the child and family to a family resource center for chronic absenteeism or filing a child requiring assistance petition with the juvenile court.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2: Adds a new section that states that The Office of the Child Advocate must post:   </w:t>
      </w:r>
    </w:p>
    <w:p w:rsidR="00000000" w:rsidDel="00000000" w:rsidP="00000000" w:rsidRDefault="00000000" w:rsidRPr="00000000" w14:paraId="0000003D">
      <w:pPr>
        <w:numPr>
          <w:ilvl w:val="0"/>
          <w:numId w:val="9"/>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An informational video on CRA petitions - what it is, how to file, what can happen after filling and resources that can help families prior to filing.    </w:t>
      </w:r>
    </w:p>
    <w:p w:rsidR="00000000" w:rsidDel="00000000" w:rsidP="00000000" w:rsidRDefault="00000000" w:rsidRPr="00000000" w14:paraId="0000003E">
      <w:pPr>
        <w:numPr>
          <w:ilvl w:val="0"/>
          <w:numId w:val="8"/>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 written overview explaining CRA petitions and available community resources - how CRA petitions work and what services are available in the community.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3: Repeals c. 69, §10    </w:t>
      </w:r>
    </w:p>
    <w:p w:rsidR="00000000" w:rsidDel="00000000" w:rsidP="00000000" w:rsidRDefault="00000000" w:rsidRPr="00000000" w14:paraId="00000040">
      <w:pPr>
        <w:numPr>
          <w:ilvl w:val="0"/>
          <w:numId w:val="5"/>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Section 10 eliminates school reimbursement for certain courses for people over the age of 18 who cannot write or read in English and do not know about the organization of government as mentioned in Sections 9.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20" w:before="2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4: Revised definition of “Child requiring assistance” in c.119, §21     </w:t>
      </w:r>
    </w:p>
    <w:p w:rsidR="00000000" w:rsidDel="00000000" w:rsidP="00000000" w:rsidRDefault="00000000" w:rsidRPr="00000000" w14:paraId="00000042">
      <w:pPr>
        <w:numPr>
          <w:ilvl w:val="0"/>
          <w:numId w:val="14"/>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Changes the age range to 12–18 years of age (was 6–18). Includes youth who may run away, defy parents, or are sexually exploited and who are in need of an out-of-home placement, additional family support, or additional school support that cannot be obtained or provided outside of a Juvenile Court process.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5: Adds new definition of “habitually truant”    </w:t>
      </w:r>
    </w:p>
    <w:p w:rsidR="00000000" w:rsidDel="00000000" w:rsidP="00000000" w:rsidRDefault="00000000" w:rsidRPr="00000000" w14:paraId="00000044">
      <w:pPr>
        <w:numPr>
          <w:ilvl w:val="0"/>
          <w:numId w:val="1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Replaces with: “Habitually absent without permission” – Absent more than 8 days per quarter without valid excuse.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6: Repeal and replaces c. 119, §39E with language that expands and clarifies the Child Requiring Assistance (CRA) process.   </w:t>
      </w:r>
    </w:p>
    <w:p w:rsidR="00000000" w:rsidDel="00000000" w:rsidP="00000000" w:rsidRDefault="00000000" w:rsidRPr="00000000" w14:paraId="00000046">
      <w:pPr>
        <w:numPr>
          <w:ilvl w:val="0"/>
          <w:numId w:val="2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Expands the purpose and requirements of a CRA by adding eligibility criteria to show an exhaustion of community-based services, the need for court-only support and specific types of behaviors.   </w:t>
      </w:r>
    </w:p>
    <w:p w:rsidR="00000000" w:rsidDel="00000000" w:rsidP="00000000" w:rsidRDefault="00000000" w:rsidRPr="00000000" w14:paraId="00000047">
      <w:pPr>
        <w:numPr>
          <w:ilvl w:val="0"/>
          <w:numId w:val="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Adds a requirement that probation officers must act as a gatekeeper and evaluate an application before it is filed to determine whether court involvement is necessary. They can reject an application if options have not been exhausted.   </w:t>
      </w:r>
    </w:p>
    <w:p w:rsidR="00000000" w:rsidDel="00000000" w:rsidP="00000000" w:rsidRDefault="00000000" w:rsidRPr="00000000" w14:paraId="00000048">
      <w:pPr>
        <w:numPr>
          <w:ilvl w:val="0"/>
          <w:numId w:val="4"/>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Adds new filing requirement where the FRC Director confirms the referral was made more than 45 business days prior, states the family's involvement in services, ensures the petitioner looked at the OCA materials provided, states the specific supports being sought from the court and excludes school related matters like IEP decisions.   </w:t>
      </w:r>
    </w:p>
    <w:p w:rsidR="00000000" w:rsidDel="00000000" w:rsidP="00000000" w:rsidRDefault="00000000" w:rsidRPr="00000000" w14:paraId="00000049">
      <w:pPr>
        <w:numPr>
          <w:ilvl w:val="0"/>
          <w:numId w:val="2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Adds enhanced procedures and documentation for the courts including a separate hearing with a focus on referring to services and ensures that when an application for assistance is dismissed the court shall expunge any records and related proceedings.   </w:t>
      </w:r>
    </w:p>
    <w:p w:rsidR="00000000" w:rsidDel="00000000" w:rsidP="00000000" w:rsidRDefault="00000000" w:rsidRPr="00000000" w14:paraId="0000004A">
      <w:pPr>
        <w:numPr>
          <w:ilvl w:val="0"/>
          <w:numId w:val="17"/>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Strengthens community-based services requirements to ensure FRC staff only report if options have been exhausted.   </w:t>
      </w:r>
    </w:p>
    <w:p w:rsidR="00000000" w:rsidDel="00000000" w:rsidP="00000000" w:rsidRDefault="00000000" w:rsidRPr="00000000" w14:paraId="0000004B">
      <w:pPr>
        <w:numPr>
          <w:ilvl w:val="0"/>
          <w:numId w:val="18"/>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Expands data collection on demographics, insurance coverage, support history, requested supports and referrals and whether or not a school is avoiding legal obligations. All data must maintain client privacy  </w:t>
      </w:r>
    </w:p>
    <w:p w:rsidR="00000000" w:rsidDel="00000000" w:rsidP="00000000" w:rsidRDefault="00000000" w:rsidRPr="00000000" w14:paraId="0000004C">
      <w:pPr>
        <w:numPr>
          <w:ilvl w:val="0"/>
          <w:numId w:val="6"/>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Strengthens procedure requirements to ensure all options have been exhausted and the petitioner has chosen to proceed, states that the judge who accepts the case cannot preside over later hearings and clarifies the informal assistance process and timeline.   </w:t>
      </w:r>
    </w:p>
    <w:p w:rsidR="00000000" w:rsidDel="00000000" w:rsidP="00000000" w:rsidRDefault="00000000" w:rsidRPr="00000000" w14:paraId="0000004D">
      <w:pPr>
        <w:numPr>
          <w:ilvl w:val="0"/>
          <w:numId w:val="19"/>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States that schools can no longer use the CRA process to deal with special education issues and states that schools must document that the issues are not within their legal responsibilities.   </w:t>
      </w:r>
    </w:p>
    <w:p w:rsidR="00000000" w:rsidDel="00000000" w:rsidP="00000000" w:rsidRDefault="00000000" w:rsidRPr="00000000" w14:paraId="0000004E">
      <w:pPr>
        <w:numPr>
          <w:ilvl w:val="0"/>
          <w:numId w:val="7"/>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Educational advocate is to refer to the FRC at least 45 days before filing.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7: Repeals and replaces Chapter 119, §39G and adds language that further clarifies the Child Requiring Assistance (CRA) process.   </w:t>
      </w:r>
    </w:p>
    <w:p w:rsidR="00000000" w:rsidDel="00000000" w:rsidP="00000000" w:rsidRDefault="00000000" w:rsidRPr="00000000" w14:paraId="00000050">
      <w:pPr>
        <w:numPr>
          <w:ilvl w:val="0"/>
          <w:numId w:val="20"/>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Establishes what governs court procedures and disposition options for cases involving a CRA.   </w:t>
      </w:r>
    </w:p>
    <w:p w:rsidR="00000000" w:rsidDel="00000000" w:rsidP="00000000" w:rsidRDefault="00000000" w:rsidRPr="00000000" w14:paraId="00000051">
      <w:pPr>
        <w:numPr>
          <w:ilvl w:val="0"/>
          <w:numId w:val="16"/>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Much about the law remains the same - the child and attorney must be present, the parent, guardian or custodian must be heard, the probation officer can request the dismissal of a case at any time etc.   </w:t>
      </w:r>
    </w:p>
    <w:p w:rsidR="00000000" w:rsidDel="00000000" w:rsidP="00000000" w:rsidRDefault="00000000" w:rsidRPr="00000000" w14:paraId="00000052">
      <w:pPr>
        <w:numPr>
          <w:ilvl w:val="0"/>
          <w:numId w:val="15"/>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changes the bill makes include that the judge “must” instead of “may” dismiss if it's in the child's best interests or all parties agree.   </w:t>
      </w:r>
    </w:p>
    <w:p w:rsidR="00000000" w:rsidDel="00000000" w:rsidP="00000000" w:rsidRDefault="00000000" w:rsidRPr="00000000" w14:paraId="00000053">
      <w:pPr>
        <w:numPr>
          <w:ilvl w:val="0"/>
          <w:numId w:val="1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It adds representatives from MassHealth, Juvenile Court clinics and other state entities depending on the requested support.   </w:t>
      </w:r>
    </w:p>
    <w:p w:rsidR="00000000" w:rsidDel="00000000" w:rsidP="00000000" w:rsidRDefault="00000000" w:rsidRPr="00000000" w14:paraId="00000054">
      <w:pPr>
        <w:numPr>
          <w:ilvl w:val="0"/>
          <w:numId w:val="3"/>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States the child can only be placed with a relative or qualified adult after inquiry (instead of may) and removed private agencies from placement options.   </w:t>
      </w:r>
    </w:p>
    <w:p w:rsidR="00000000" w:rsidDel="00000000" w:rsidP="00000000" w:rsidRDefault="00000000" w:rsidRPr="00000000" w14:paraId="00000055">
      <w:pPr>
        <w:numPr>
          <w:ilvl w:val="0"/>
          <w:numId w:val="10"/>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Adds explicit requirements to disposition orders and emphasizes the importance of a child’s placement preferences.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7">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