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JOINT COMMITTEE ON CHILDREN, FAMILIES AND PEOPLE WITH DISABILITIES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H.266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An Act minimizing trauma to children and families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 </w:t>
      </w:r>
      <w:r w:rsidDel="00000000" w:rsidR="00000000" w:rsidRPr="00000000">
        <w:rPr>
          <w:rFonts w:ascii="Times New Roman" w:cs="Times New Roman" w:eastAsia="Times New Roman" w:hAnsi="Times New Roman"/>
          <w:rtl w:val="0"/>
        </w:rPr>
        <w:t xml:space="preserve">Rep. Joan Meschino (</w:t>
      </w:r>
      <w:r w:rsidDel="00000000" w:rsidR="00000000" w:rsidRPr="00000000">
        <w:rPr>
          <w:rFonts w:ascii="Times New Roman" w:cs="Times New Roman" w:eastAsia="Times New Roman" w:hAnsi="Times New Roman"/>
          <w:i w:val="1"/>
          <w:rtl w:val="0"/>
        </w:rPr>
        <w:t xml:space="preserve">Hull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July 8, 2025</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September 6, 2025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Prior History: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2023-24 (H.204): Reported favorably; New draft S.2804; Referred to SWM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2021-22 (H.3777): Ordered to a House Study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Similar Matters: </w:t>
      </w:r>
      <w:r w:rsidDel="00000000" w:rsidR="00000000" w:rsidRPr="00000000">
        <w:rPr>
          <w:rFonts w:ascii="Times New Roman" w:cs="Times New Roman" w:eastAsia="Times New Roman" w:hAnsi="Times New Roman"/>
          <w:rtl w:val="0"/>
        </w:rPr>
        <w:t xml:space="preserve">S.109 (Sen. Cynthia S. Creem – Identical)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CURRENT LAW: </w:t>
      </w:r>
      <w:r w:rsidDel="00000000" w:rsidR="00000000" w:rsidRPr="00000000">
        <w:rPr>
          <w:rFonts w:ascii="Times New Roman" w:cs="Times New Roman" w:eastAsia="Times New Roman" w:hAnsi="Times New Roman"/>
          <w:rtl w:val="0"/>
        </w:rPr>
        <w:t xml:space="preserve">M.G.L. c. 18B –</w:t>
      </w:r>
      <w:r w:rsidDel="00000000" w:rsidR="00000000" w:rsidRPr="00000000">
        <w:rPr>
          <w:rFonts w:ascii="Times New Roman" w:cs="Times New Roman" w:eastAsia="Times New Roman" w:hAnsi="Times New Roman"/>
          <w:i w:val="1"/>
          <w:rtl w:val="0"/>
        </w:rPr>
        <w:t xml:space="preserve"> Department of Social Services:</w:t>
      </w:r>
      <w:r w:rsidDel="00000000" w:rsidR="00000000" w:rsidRPr="00000000">
        <w:rPr>
          <w:rFonts w:ascii="Times New Roman" w:cs="Times New Roman" w:eastAsia="Times New Roman" w:hAnsi="Times New Roman"/>
          <w:rtl w:val="0"/>
        </w:rPr>
        <w:t xml:space="preserve"> This chapter outlines the functions of the Department of Children and Families (DCF) and the services that it offers.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M.G.L. c. 119 – </w:t>
      </w:r>
      <w:r w:rsidDel="00000000" w:rsidR="00000000" w:rsidRPr="00000000">
        <w:rPr>
          <w:rFonts w:ascii="Times New Roman" w:cs="Times New Roman" w:eastAsia="Times New Roman" w:hAnsi="Times New Roman"/>
          <w:i w:val="1"/>
          <w:rtl w:val="0"/>
        </w:rPr>
        <w:t xml:space="preserve">Protection and Care of Children, and Proceedings Against Them:</w:t>
      </w:r>
      <w:r w:rsidDel="00000000" w:rsidR="00000000" w:rsidRPr="00000000">
        <w:rPr>
          <w:rFonts w:ascii="Times New Roman" w:cs="Times New Roman" w:eastAsia="Times New Roman" w:hAnsi="Times New Roman"/>
          <w:rtl w:val="0"/>
        </w:rPr>
        <w:t xml:space="preserve"> This chapter outlines the policies, rights, and protections that are put in place against the absence, inability, inadequacy, or destructive behavior of parents or parent substitutes. It tasks DCF to represent the best interests of the child in all of its matters and decisions. Additionally, it outlines the procedures for removing a child from their home and placing them into the care of DCF.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M.G.L. c. 119 §51B – </w:t>
      </w:r>
      <w:r w:rsidDel="00000000" w:rsidR="00000000" w:rsidRPr="00000000">
        <w:rPr>
          <w:rFonts w:ascii="Times New Roman" w:cs="Times New Roman" w:eastAsia="Times New Roman" w:hAnsi="Times New Roman"/>
          <w:i w:val="1"/>
          <w:rtl w:val="0"/>
        </w:rPr>
        <w:t xml:space="preserve">Protection and Care of Children, and Proceedings Against Them; Investigation of report of abuse filed under Sec. 51A; removal of child; transmission and filing of written reports; notice to district attorney; disclosure of information by mandated reporter:</w:t>
      </w:r>
      <w:r w:rsidDel="00000000" w:rsidR="00000000" w:rsidRPr="00000000">
        <w:rPr>
          <w:rFonts w:ascii="Times New Roman" w:cs="Times New Roman" w:eastAsia="Times New Roman" w:hAnsi="Times New Roman"/>
          <w:rtl w:val="0"/>
        </w:rPr>
        <w:t xml:space="preserve"> This section outlines the investigative procedures DCF must take upon receipt of a report filed under section 51A, regarding suspected child abuse or neglect.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w:t>
      </w:r>
      <w:r w:rsidDel="00000000" w:rsidR="00000000" w:rsidRPr="00000000">
        <w:rPr>
          <w:rFonts w:ascii="Times New Roman" w:cs="Times New Roman" w:eastAsia="Times New Roman" w:hAnsi="Times New Roman"/>
          <w:rtl w:val="0"/>
        </w:rPr>
        <w:t xml:space="preserve"> This bill reforms certain child custody and welfare procedures to improve timely reporting and notice of placement changes. Additionally, it establishes safeguards for emergency custody orders.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1 amends M.G.L. c. 18B by inserting a new section (Section 26) which requires DCF to publicly report quarterly on (1) number of cases in which it took custody of a child under when investigating suspected abuse or neglect without first obtaining a court order; (2) total number of children it assumed custody in those cases; (3) the median amount of time between DCF taking custody and its employees requesting court approval of that decision; and (4) the number of cases in which it took more than four hours to request court approval.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2 amends M.G.L. c. 119 by inserting a new section after section 24 (Section 24A). This section establishes a process for obtaining judicial approval for emergency custodial removals after hours including authorization via phone and a follow up in the court the following day.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3 amends M.G.L. c. 119, §51B by clarifying that DCF can only remove a child without a court order if the child is at imminent risk of serious abuse or neglect and that immediate removal is necessary to prevent serious harm.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4 amends M.G.L. c. 119, §51B by striking out subsection (e). This has the effect of removing language regarding temporary custody that would conflict with the language in this bill (i.e. a more simplified process with less documentation and details).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