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PEOPLE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H.273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relative to a maltreatment coding system  </w:t>
      </w:r>
    </w:p>
    <w:p w:rsidR="00000000" w:rsidDel="00000000" w:rsidP="00000000" w:rsidRDefault="00000000" w:rsidRPr="00000000" w14:paraId="00000007">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 </w:t>
      </w:r>
      <w:r w:rsidDel="00000000" w:rsidR="00000000" w:rsidRPr="00000000">
        <w:rPr>
          <w:rFonts w:ascii="Times New Roman" w:cs="Times New Roman" w:eastAsia="Times New Roman" w:hAnsi="Times New Roman"/>
          <w:rtl w:val="0"/>
        </w:rPr>
        <w:t xml:space="preserve">Rep. Samantha Montaño (Boston)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July 8, 2025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September 6, 2025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D">
      <w:pPr>
        <w:pBdr>
          <w:top w:color="auto" w:space="0" w:sz="0" w:val="none"/>
          <w:left w:color="auto" w:space="-36"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w:t>
      </w:r>
      <w:r w:rsidDel="00000000" w:rsidR="00000000" w:rsidRPr="00000000">
        <w:rPr>
          <w:rFonts w:ascii="Times New Roman" w:cs="Times New Roman" w:eastAsia="Times New Roman" w:hAnsi="Times New Roman"/>
          <w:rtl w:val="0"/>
        </w:rPr>
        <w:t xml:space="preserve"> None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w:t>
      </w:r>
      <w:r w:rsidDel="00000000" w:rsidR="00000000" w:rsidRPr="00000000">
        <w:rPr>
          <w:rFonts w:ascii="Times New Roman" w:cs="Times New Roman" w:eastAsia="Times New Roman" w:hAnsi="Times New Roman"/>
          <w:rtl w:val="0"/>
        </w:rPr>
        <w:t xml:space="preserve"> S.146 (Sen. Robyn K. Kennedy – Identical)  </w:t>
      </w:r>
    </w:p>
    <w:p w:rsidR="00000000" w:rsidDel="00000000" w:rsidP="00000000" w:rsidRDefault="00000000" w:rsidRPr="00000000" w14:paraId="00000010">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M.G.L. c.119, §51B - </w:t>
      </w:r>
      <w:r w:rsidDel="00000000" w:rsidR="00000000" w:rsidRPr="00000000">
        <w:rPr>
          <w:rFonts w:ascii="Times New Roman" w:cs="Times New Roman" w:eastAsia="Times New Roman" w:hAnsi="Times New Roman"/>
          <w:i w:val="1"/>
          <w:rtl w:val="0"/>
        </w:rPr>
        <w:t xml:space="preserve">Protection and Care of Children, and Proceedings against them: Investigation of report of abuse filed under Sec. 51A; removal of child; transmission and filing of written reports; notice to district attorney; disclosure of information by mandated reporter</w:t>
      </w:r>
      <w:r w:rsidDel="00000000" w:rsidR="00000000" w:rsidRPr="00000000">
        <w:rPr>
          <w:rFonts w:ascii="Times New Roman" w:cs="Times New Roman" w:eastAsia="Times New Roman" w:hAnsi="Times New Roman"/>
          <w:rtl w:val="0"/>
        </w:rPr>
        <w:t xml:space="preserve">: This section establishes what the Department of Children and Families (DCF) must do to investigate 51A reports. This includes but is not limited to home visits and safety assessments.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 </w:t>
      </w:r>
      <w:r w:rsidDel="00000000" w:rsidR="00000000" w:rsidRPr="00000000">
        <w:rPr>
          <w:rFonts w:ascii="Times New Roman" w:cs="Times New Roman" w:eastAsia="Times New Roman" w:hAnsi="Times New Roman"/>
          <w:rtl w:val="0"/>
        </w:rPr>
        <w:t xml:space="preserve">This bill adds 5 paragraphs to M.G.L. c. 119, §51B following subsection (a). The bill would require DCF to create a maltreatment coding system in the investigations of 51Bs. The codes must include but are not limited to parental abuse, imminent risk of serious harm, labor trafficking, emotional abuse, neglect, physical abuse, sexual abuse, and/or exploitation. It also requires the tracking system to system to include coding based on sexual orientation, gender identity/expression, and racial discrimination to provide family preservation and acceptance education. Lastly, DCF must review and update the coding categories at least every two years.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