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Public Safety and Homeland Security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House, No. 2630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An Act relative to primary enforcement of seatbelt violations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Representatives Hawkins of Attleboro, Vaughn of Wrentham, and Xiarhos of Barnstable</w:t>
            </w:r>
          </w:p>
        </w:tc>
      </w:tr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>
            <w:r>
              <w:t>Wednesday, April 9, 2025</w:t>
              <w:t xml:space="preserve"> at </w:t>
              <w:t>10:00 AM</w:t>
              <w:t xml:space="preserve"> - </w:t>
              <w:t>12:00 PM</w:t>
              <w:t xml:space="preserve">, </w:t>
              <w:t>A-1 &amp; A-2 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Study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Amends section 13A (Seat belt use required; exemptions; penalty) of Chapter 90 (Motor Vehicles and Aircraft) by striking from the second to last paragraph of the section to require that a violation of the seat belt law to be enforced requires the motor vehicle operator be stopped for a different violation.</w:t>
            </w:r>
          </w:p>
          <w:p>
            <w:pPr>
              <w:pStyle w:val="NormalWeb"/>
              <w:spacing w:line="240" w:lineRule="auto"/>
            </w:pPr>
            <w:r>
              <w:t xml:space="preserve"> 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2F919D-CCB5-4AD1-9CF6-86C1085E2BB2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