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Community Development and Small Businesses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House, No. 313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encouraging smart growth and starter home zoning adoption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Representative Vieira of Falmouth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July 15, 2025</w:t>
              <w:t xml:space="preserve"> at </w:t>
              <w:t>10:00 AM</w:t>
              <w:t xml:space="preserve"> - </w:t>
              <w:t>01:00 PM</w:t>
              <w:t xml:space="preserve">, </w:t>
              <w:t>B-1                               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Filed as H.241 (2023-24) Referred to Community Development and Small Businesses; reported favorably and referred to House Ways and Means.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M.G.L. Chapter 40R lays out programs and incentives to encourage smart growth and increase housing production in Massachusetts.</w:t>
            </w:r>
          </w:p>
          <w:p>
            <w:pPr>
              <w:pStyle w:val="NormalWeb"/>
              <w:spacing w:line="240" w:lineRule="auto"/>
            </w:pPr>
            <w:r>
              <w:t xml:space="preserve">M.G.L. Chapter 40R § 9 sets certain requirements and amounts for zoning incentive payments and one-time density bonus payments to cities and towns that adopt smart growth zoning districts.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Amends Ch. 40R § 9 to allow cities and communities with a starter home zoning district to receive zoning incentive payments. Adds a one-time production bonus payment that can be earned by cities and towns that have approved starter home zoning districts. Zoning incentive payments and one-time density bonus payment amounts are doubled from current language. The one-time production bonus payment amount is the same as the one-time density bonus payment amount ($6,000/unit).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