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JOINT COMMITTEE ON CHILDREN, FAMILIES AND PERSONS WITH DISABILITIES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2025-2026 (194</w:t>
      </w:r>
      <w:r w:rsidDel="00000000" w:rsidR="00000000" w:rsidRPr="00000000">
        <w:rPr>
          <w:rFonts w:ascii="Times New Roman" w:cs="Times New Roman" w:eastAsia="Times New Roman" w:hAnsi="Times New Roman"/>
          <w:b w:val="1"/>
          <w:sz w:val="36"/>
          <w:szCs w:val="36"/>
          <w:vertAlign w:val="superscript"/>
          <w:rtl w:val="0"/>
        </w:rPr>
        <w:t xml:space="preserve">th</w:t>
      </w:r>
      <w:r w:rsidDel="00000000" w:rsidR="00000000" w:rsidRPr="00000000">
        <w:rPr>
          <w:rFonts w:ascii="Times New Roman" w:cs="Times New Roman" w:eastAsia="Times New Roman" w:hAnsi="Times New Roman"/>
          <w:b w:val="1"/>
          <w:rtl w:val="0"/>
        </w:rPr>
        <w:t xml:space="preserve">) BILL SUMMARY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Bill Number: </w:t>
      </w:r>
      <w:r w:rsidDel="00000000" w:rsidR="00000000" w:rsidRPr="00000000">
        <w:rPr>
          <w:rFonts w:ascii="Times New Roman" w:cs="Times New Roman" w:eastAsia="Times New Roman" w:hAnsi="Times New Roman"/>
          <w:rtl w:val="0"/>
        </w:rPr>
        <w:t xml:space="preserve">H.206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7">
      <w:pPr>
        <w:pBdr>
          <w:top w:color="auto" w:space="0" w:sz="0" w:val="none"/>
          <w:left w:color="auto" w:space="-108"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Title: </w:t>
      </w:r>
      <w:r w:rsidDel="00000000" w:rsidR="00000000" w:rsidRPr="00000000">
        <w:rPr>
          <w:rFonts w:ascii="Times New Roman" w:cs="Times New Roman" w:eastAsia="Times New Roman" w:hAnsi="Times New Roman"/>
          <w:rtl w:val="0"/>
        </w:rPr>
        <w:t xml:space="preserve">An Act fast-tracking adoptions for children in DCF custody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Sponsor(s): </w:t>
      </w:r>
      <w:r w:rsidDel="00000000" w:rsidR="00000000" w:rsidRPr="00000000">
        <w:rPr>
          <w:rFonts w:ascii="Times New Roman" w:cs="Times New Roman" w:eastAsia="Times New Roman" w:hAnsi="Times New Roman"/>
          <w:rtl w:val="0"/>
        </w:rPr>
        <w:t xml:space="preserve">Rep. Donald R. Berthiaume, Jr. </w:t>
      </w:r>
      <w:r w:rsidDel="00000000" w:rsidR="00000000" w:rsidRPr="00000000">
        <w:rPr>
          <w:rFonts w:ascii="Times New Roman" w:cs="Times New Roman" w:eastAsia="Times New Roman" w:hAnsi="Times New Roman"/>
          <w:i w:val="1"/>
          <w:rtl w:val="0"/>
        </w:rPr>
        <w:t xml:space="preserve">(Spencer)</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Hearing Date: </w:t>
      </w:r>
      <w:r w:rsidDel="00000000" w:rsidR="00000000" w:rsidRPr="00000000">
        <w:rPr>
          <w:rFonts w:ascii="Times New Roman" w:cs="Times New Roman" w:eastAsia="Times New Roman" w:hAnsi="Times New Roman"/>
          <w:rtl w:val="0"/>
        </w:rPr>
        <w:t xml:space="preserve">July 22, 2025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Reporting Deadline: </w:t>
      </w:r>
      <w:r w:rsidDel="00000000" w:rsidR="00000000" w:rsidRPr="00000000">
        <w:rPr>
          <w:rFonts w:ascii="Times New Roman" w:cs="Times New Roman" w:eastAsia="Times New Roman" w:hAnsi="Times New Roman"/>
          <w:rtl w:val="0"/>
        </w:rPr>
        <w:t xml:space="preserve">September 20, 2025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F">
      <w:pPr>
        <w:pBdr>
          <w:top w:color="auto" w:space="0" w:sz="0" w:val="none"/>
          <w:left w:color="auto" w:space="-36"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Prior History:</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2023-24 (H.131): Ordered to a House Study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2021-22 (H.188: Ordered to a House Study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3">
      <w:pPr>
        <w:pBdr>
          <w:top w:color="auto" w:space="0" w:sz="0" w:val="none"/>
          <w:left w:color="auto" w:space="-108" w:sz="0" w:val="none"/>
          <w:bottom w:color="auto" w:space="0" w:sz="0" w:val="none"/>
          <w:right w:color="auto" w:space="0" w:sz="0" w:val="none"/>
          <w:between w:color="auto" w:space="0" w:sz="0" w:val="none"/>
        </w:pBd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Similar Matters: </w:t>
      </w:r>
      <w:r w:rsidDel="00000000" w:rsidR="00000000" w:rsidRPr="00000000">
        <w:rPr>
          <w:rFonts w:ascii="Times New Roman" w:cs="Times New Roman" w:eastAsia="Times New Roman" w:hAnsi="Times New Roman"/>
          <w:rtl w:val="0"/>
        </w:rPr>
        <w:t xml:space="preserve">None.  </w:t>
      </w:r>
    </w:p>
    <w:p w:rsidR="00000000" w:rsidDel="00000000" w:rsidP="00000000" w:rsidRDefault="00000000" w:rsidRPr="00000000" w14:paraId="00000014">
      <w:pPr>
        <w:pBdr>
          <w:top w:color="auto" w:space="0" w:sz="0" w:val="none"/>
          <w:left w:color="auto" w:space="-108" w:sz="0" w:val="none"/>
          <w:bottom w:color="auto" w:space="0" w:sz="0" w:val="none"/>
          <w:right w:color="auto" w:space="0" w:sz="0" w:val="none"/>
          <w:between w:color="auto" w:space="0" w:sz="0" w:val="none"/>
        </w:pBdr>
        <w:ind w:left="4320" w:hanging="21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CURRENT LAW:</w:t>
      </w:r>
      <w:r w:rsidDel="00000000" w:rsidR="00000000" w:rsidRPr="00000000">
        <w:rPr>
          <w:rFonts w:ascii="Times New Roman" w:cs="Times New Roman" w:eastAsia="Times New Roman" w:hAnsi="Times New Roman"/>
          <w:rtl w:val="0"/>
        </w:rPr>
        <w:t xml:space="preserve"> M.G.L. c. 119, §24 - </w:t>
      </w:r>
      <w:r w:rsidDel="00000000" w:rsidR="00000000" w:rsidRPr="00000000">
        <w:rPr>
          <w:rFonts w:ascii="Times New Roman" w:cs="Times New Roman" w:eastAsia="Times New Roman" w:hAnsi="Times New Roman"/>
          <w:i w:val="1"/>
          <w:rtl w:val="0"/>
        </w:rPr>
        <w:t xml:space="preserve">Procedure to commit child to custody or other disposition; notice and summons; emergency order transferring custody; investigation; abandoned children: </w:t>
      </w:r>
      <w:r w:rsidDel="00000000" w:rsidR="00000000" w:rsidRPr="00000000">
        <w:rPr>
          <w:rFonts w:ascii="Times New Roman" w:cs="Times New Roman" w:eastAsia="Times New Roman" w:hAnsi="Times New Roman"/>
          <w:rtl w:val="0"/>
        </w:rPr>
        <w:t xml:space="preserve">This section outlines the process for petitioning the Juvenile Court on behalf of a child within its jurisdiction that the child: (a) is without necessary and proper physical or educational care and discipline; (b) is growing up under conditions or circumstances damaging to the child's sound character development; (c) lacks proper attention of the parent, guardian with care and custody or custodian; or (d) has a parent, guardian or custodian who is unwilling, incompetent or unavailable to provide any such care, discipline or attention.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M.G.L. c. 119, §25 - </w:t>
      </w:r>
      <w:r w:rsidDel="00000000" w:rsidR="00000000" w:rsidRPr="00000000">
        <w:rPr>
          <w:rFonts w:ascii="Times New Roman" w:cs="Times New Roman" w:eastAsia="Times New Roman" w:hAnsi="Times New Roman"/>
          <w:i w:val="1"/>
          <w:rtl w:val="0"/>
        </w:rPr>
        <w:t xml:space="preserve">Hearing; custody of child – This section details the specifics for a</w:t>
      </w:r>
      <w:r w:rsidDel="00000000" w:rsidR="00000000" w:rsidRPr="00000000">
        <w:rPr>
          <w:rFonts w:ascii="Times New Roman" w:cs="Times New Roman" w:eastAsia="Times New Roman" w:hAnsi="Times New Roman"/>
          <w:rtl w:val="0"/>
        </w:rPr>
        <w:t xml:space="preserve"> petition under ‘Section 24’, which may be heard immediately when the child is brought to court or postponed to a scheduled hearing date. Before the hearing on the merits, the court can place the child with a suitable person, a licensed foster care agency, or commit the child to the Department of Children and Families (DCF) custody. If the court commits a child to DCF custody, the court will make the written certification and determinations required by M.G.L. c. 119, §29C (judicial certification of need to remove a child).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SUMMARY: </w:t>
      </w:r>
      <w:r w:rsidDel="00000000" w:rsidR="00000000" w:rsidRPr="00000000">
        <w:rPr>
          <w:rFonts w:ascii="Times New Roman" w:cs="Times New Roman" w:eastAsia="Times New Roman" w:hAnsi="Times New Roman"/>
          <w:rtl w:val="0"/>
        </w:rPr>
        <w:t xml:space="preserve">This bill amends M.G.L. c. 119, §25 by adding a provision that allows children who are in custody of a suitable person, licensed agency providing foster care, or DCF for at least eighteen months to request emancipation from their biological parents if their parents have not fulfilled their court ordered obligations.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1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B">
      <w:pPr>
        <w:rPr>
          <w:rFonts w:ascii="Times New Roman" w:cs="Times New Roman" w:eastAsia="Times New Roman" w:hAnsi="Times New Roman"/>
          <w:b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