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JOINT COMMITTEE ON CHILDREN, FAMILIES AND PERSONS WITH DISABILITIES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H.259</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relative to educational support for children in foster care</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w:t>
      </w:r>
      <w:r w:rsidDel="00000000" w:rsidR="00000000" w:rsidRPr="00000000">
        <w:rPr>
          <w:rFonts w:ascii="Times New Roman" w:cs="Times New Roman" w:eastAsia="Times New Roman" w:hAnsi="Times New Roman"/>
          <w:rtl w:val="0"/>
        </w:rPr>
        <w:t xml:space="preserve"> Rep. David Henry Argosky LeBoeuf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July 22, 2025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September 20, 2025</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None.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History: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(H.195): Accompanied S.2804; Reported favorably; Referred to SWM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2021-22 (H.4068): Reported favorably; Referred to HWM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 </w:t>
      </w:r>
      <w:r w:rsidDel="00000000" w:rsidR="00000000" w:rsidRPr="00000000">
        <w:rPr>
          <w:rFonts w:ascii="Times New Roman" w:cs="Times New Roman" w:eastAsia="Times New Roman" w:hAnsi="Times New Roman"/>
          <w:rtl w:val="0"/>
        </w:rPr>
        <w:t xml:space="preserve">M.G.L. c. 18B: </w:t>
      </w:r>
      <w:r w:rsidDel="00000000" w:rsidR="00000000" w:rsidRPr="00000000">
        <w:rPr>
          <w:rFonts w:ascii="Times New Roman" w:cs="Times New Roman" w:eastAsia="Times New Roman" w:hAnsi="Times New Roman"/>
          <w:i w:val="1"/>
          <w:rtl w:val="0"/>
        </w:rPr>
        <w:t xml:space="preserve">Department of Social Services - </w:t>
      </w:r>
      <w:r w:rsidDel="00000000" w:rsidR="00000000" w:rsidRPr="00000000">
        <w:rPr>
          <w:rFonts w:ascii="Times New Roman" w:cs="Times New Roman" w:eastAsia="Times New Roman" w:hAnsi="Times New Roman"/>
          <w:rtl w:val="0"/>
        </w:rPr>
        <w:t xml:space="preserve">Establishes the Department of Children and Familie’s (DCF) structure, duties, and responsibilities in protecting children and supporting families in the Commonwealth of Massachusetts.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 </w:t>
      </w:r>
      <w:r w:rsidDel="00000000" w:rsidR="00000000" w:rsidRPr="00000000">
        <w:rPr>
          <w:rFonts w:ascii="Times New Roman" w:cs="Times New Roman" w:eastAsia="Times New Roman" w:hAnsi="Times New Roman"/>
          <w:rtl w:val="0"/>
        </w:rPr>
        <w:t xml:space="preserve">This bill amends M.G.L. c. 18B by adding a new section, Section 26, directing the Department of Children and Families (DCF) to consult with:  </w:t>
      </w:r>
    </w:p>
    <w:p w:rsidR="00000000" w:rsidDel="00000000" w:rsidP="00000000" w:rsidRDefault="00000000" w:rsidRPr="00000000" w14:paraId="00000012">
      <w:pPr>
        <w:numPr>
          <w:ilvl w:val="0"/>
          <w:numId w:val="4"/>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Department of Elementary and Secondary Education (DESE);  </w:t>
      </w:r>
    </w:p>
    <w:p w:rsidR="00000000" w:rsidDel="00000000" w:rsidP="00000000" w:rsidRDefault="00000000" w:rsidRPr="00000000" w14:paraId="00000013">
      <w:pPr>
        <w:numPr>
          <w:ilvl w:val="0"/>
          <w:numId w:val="5"/>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Office of the Child Advocate (OCA);   </w:t>
      </w:r>
    </w:p>
    <w:p w:rsidR="00000000" w:rsidDel="00000000" w:rsidP="00000000" w:rsidRDefault="00000000" w:rsidRPr="00000000" w14:paraId="00000014">
      <w:pPr>
        <w:numPr>
          <w:ilvl w:val="0"/>
          <w:numId w:val="1"/>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Service Employees International Union (SEIU), Local 509;   </w:t>
      </w:r>
    </w:p>
    <w:p w:rsidR="00000000" w:rsidDel="00000000" w:rsidP="00000000" w:rsidRDefault="00000000" w:rsidRPr="00000000" w14:paraId="00000015">
      <w:pPr>
        <w:numPr>
          <w:ilvl w:val="0"/>
          <w:numId w:val="3"/>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Massachusetts Alliance for Families; and   </w:t>
      </w:r>
    </w:p>
    <w:p w:rsidR="00000000" w:rsidDel="00000000" w:rsidP="00000000" w:rsidRDefault="00000000" w:rsidRPr="00000000" w14:paraId="00000016">
      <w:pPr>
        <w:numPr>
          <w:ilvl w:val="0"/>
          <w:numId w:val="2"/>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MA Court Appointed Special Advocates, Inc.;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review all DCF policies relative to the education of children under its custody and care.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goal is to develop streamlined guidance for all DCF Area Offices regarding these children’s education and to promulgate regulations regarding the responsibilities and duties of Area Offices, foster parents, social workers and school districts. The new regulations must ensure that DCF monitors the education of each child and provides information regarding each child’s educational history with any person authorized by law to make educational decisions for the foster child as well as the child’s teachers, school and school district. Additionally, DCF is to develop a program for new foster parents to inform them about their responsibilities and DCF’s educational services.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annual report is required to be filed with relevant legislative stakeholders.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