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JOINT COMMITTEE ON CHILDREN, FAMILIES AND PERSONS WITH DISABILITIES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H.269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 </w:t>
      </w:r>
      <w:r w:rsidDel="00000000" w:rsidR="00000000" w:rsidRPr="00000000">
        <w:rPr>
          <w:rFonts w:ascii="Times New Roman" w:cs="Times New Roman" w:eastAsia="Times New Roman" w:hAnsi="Times New Roman"/>
          <w:rtl w:val="0"/>
        </w:rPr>
        <w:t xml:space="preserve">An Act strengthening parenting time plans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Sponsors: </w:t>
      </w:r>
      <w:r w:rsidDel="00000000" w:rsidR="00000000" w:rsidRPr="00000000">
        <w:rPr>
          <w:rFonts w:ascii="Times New Roman" w:cs="Times New Roman" w:eastAsia="Times New Roman" w:hAnsi="Times New Roman"/>
          <w:rtl w:val="0"/>
        </w:rPr>
        <w:t xml:space="preserve">Rep. Joan Meschino </w:t>
      </w:r>
      <w:r w:rsidDel="00000000" w:rsidR="00000000" w:rsidRPr="00000000">
        <w:rPr>
          <w:rFonts w:ascii="Times New Roman" w:cs="Times New Roman" w:eastAsia="Times New Roman" w:hAnsi="Times New Roman"/>
          <w:i w:val="1"/>
          <w:rtl w:val="0"/>
        </w:rPr>
        <w:t xml:space="preserve">(Hull)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Hearing Date:</w:t>
      </w:r>
      <w:r w:rsidDel="00000000" w:rsidR="00000000" w:rsidRPr="00000000">
        <w:rPr>
          <w:rFonts w:ascii="Times New Roman" w:cs="Times New Roman" w:eastAsia="Times New Roman" w:hAnsi="Times New Roman"/>
          <w:rtl w:val="0"/>
        </w:rPr>
        <w:t xml:space="preserve"> July 22, 2025</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Deadline: </w:t>
      </w:r>
      <w:r w:rsidDel="00000000" w:rsidR="00000000" w:rsidRPr="00000000">
        <w:rPr>
          <w:rFonts w:ascii="Times New Roman" w:cs="Times New Roman" w:eastAsia="Times New Roman" w:hAnsi="Times New Roman"/>
          <w:rtl w:val="0"/>
        </w:rPr>
        <w:t xml:space="preserve">September 20, 2025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History: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2021-22 (H.3777): Ordered to a House Study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Similar Matters: </w:t>
      </w:r>
      <w:r w:rsidDel="00000000" w:rsidR="00000000" w:rsidRPr="00000000">
        <w:rPr>
          <w:rFonts w:ascii="Times New Roman" w:cs="Times New Roman" w:eastAsia="Times New Roman" w:hAnsi="Times New Roman"/>
          <w:rtl w:val="0"/>
        </w:rPr>
        <w:t xml:space="preserve">None.</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CURRENT LAW: </w:t>
      </w:r>
      <w:r w:rsidDel="00000000" w:rsidR="00000000" w:rsidRPr="00000000">
        <w:rPr>
          <w:rFonts w:ascii="Times New Roman" w:cs="Times New Roman" w:eastAsia="Times New Roman" w:hAnsi="Times New Roman"/>
          <w:rtl w:val="0"/>
        </w:rPr>
        <w:t xml:space="preserve"> M.G.L. c. 119: </w:t>
      </w:r>
      <w:r w:rsidDel="00000000" w:rsidR="00000000" w:rsidRPr="00000000">
        <w:rPr>
          <w:rFonts w:ascii="Times New Roman" w:cs="Times New Roman" w:eastAsia="Times New Roman" w:hAnsi="Times New Roman"/>
          <w:i w:val="1"/>
          <w:rtl w:val="0"/>
        </w:rPr>
        <w:t xml:space="preserve">Protection and Care of Children, and Proceedings Against Them -</w:t>
      </w:r>
      <w:r w:rsidDel="00000000" w:rsidR="00000000" w:rsidRPr="00000000">
        <w:rPr>
          <w:rFonts w:ascii="Times New Roman" w:cs="Times New Roman" w:eastAsia="Times New Roman" w:hAnsi="Times New Roman"/>
          <w:rtl w:val="0"/>
        </w:rPr>
        <w:t xml:space="preserve"> This chapter discusses the policies, rights, and protections that are put in place against the absence, inability, inadequacy, or destructive behavior of parents or parent substitutes. It tasks the Department of Children and Families (DCF) to represent the best interests of the child in all of its matters and decisions. Additionally, it outlines the procedures for removing a child from their home and placing them into the care of DCF.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SUMMARY:  </w:t>
      </w:r>
      <w:r w:rsidDel="00000000" w:rsidR="00000000" w:rsidRPr="00000000">
        <w:rPr>
          <w:rFonts w:ascii="Times New Roman" w:cs="Times New Roman" w:eastAsia="Times New Roman" w:hAnsi="Times New Roman"/>
          <w:rtl w:val="0"/>
        </w:rPr>
        <w:t xml:space="preserve">This bill adds a section to M.G.L. c. 119 that requires the court to order regular and frequent parenting visitations to a child which DCF, a licensed childcare agency, or an individual has temporary custody or responsibility of, so long as it is deemed not harmful to the child’s health and safety. Visitations shall not be less than once a week and shall be at least 2 hours long, with the presumption that it will be unsupervised unless the court requires supervision to ensure the safety or well-being of the child. The court cannot suspend visitation for more than 4 weeks or terminate it unless it is in the best interests of the child to do so. The court shall consider the child’s age, developmental stage, and other needs when issuing an order detailing the logistics of the visitations and for allowing different communication pathways between the child and the parent.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