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Higher Education</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938</w:t>
            </w:r>
          </w:p>
        </w:tc>
      </w:tr>
      <w:tr>
        <w:tc>
          <w:tcPr>
            <w:tcW w:w="2538" w:type="dxa"/>
          </w:tcPr>
          <w:p>
            <w:r>
              <w:rPr>
                <w:b/>
                <w:u w:val="single"/>
              </w:rPr>
              <w:t>TITLE</w:t>
            </w:r>
          </w:p>
        </w:tc>
        <w:tc>
          <w:tcPr>
            <w:tcW w:w="7650" w:type="dxa"/>
          </w:tcPr>
          <w:p>
            <w:pPr>
              <w:spacing w:after="240"/>
            </w:pPr>
            <w:r>
              <w:t>An Act to require disclosure of conflicts of interests in academic institutions</w:t>
            </w:r>
          </w:p>
        </w:tc>
      </w:tr>
      <w:tr>
        <w:tc>
          <w:tcPr>
            <w:tcW w:w="2538" w:type="dxa"/>
          </w:tcPr>
          <w:p>
            <w:pPr>
              <w:spacing w:after="240"/>
            </w:pPr>
            <w:r>
              <w:rPr>
                <w:b/>
                <w:u w:val="single"/>
              </w:rPr>
              <w:t>SPONSORS</w:t>
            </w:r>
          </w:p>
        </w:tc>
        <w:tc>
          <w:tcPr>
            <w:tcW w:w="7650" w:type="dxa"/>
          </w:tcPr>
          <w:p>
            <w:pPr>
              <w:spacing w:after="240"/>
            </w:pPr>
            <w:r>
              <w:t>Senator Lewis</w:t>
            </w:r>
          </w:p>
        </w:tc>
      </w:tr>
      <w:tr>
        <w:trPr>
          <w:trHeight w:val="540"/>
        </w:trPr>
        <w:tc>
          <w:tcPr>
            <w:tcW w:w="2538" w:type="dxa"/>
          </w:tcPr>
          <w:p>
            <w:r>
              <w:rPr>
                <w:b/>
                <w:u w:val="single"/>
              </w:rPr>
              <w:t>HEARING DATE</w:t>
            </w:r>
          </w:p>
        </w:tc>
        <w:tc>
          <w:tcPr>
            <w:tcW w:w="7650" w:type="dxa"/>
          </w:tcPr>
          <w:p>
            <w:r>
              <w:t>Thursday, September 11, 2025</w:t>
              <w:t xml:space="preserve"> at </w:t>
              <w:t>01:00 PM</w:t>
              <w:t xml:space="preserve"> - </w:t>
              <w:t>05:00 PM</w:t>
              <w:t xml:space="preserve">, </w:t>
              <w:t>A-1                                                                                                        </w:t>
            </w:r>
          </w:p>
        </w:tc>
      </w:tr>
      <w:tr>
        <w:tc>
          <w:tcPr>
            <w:tcW w:w="10188" w:type="dxa"/>
            <w:gridSpan w:val="2"/>
          </w:tcPr>
          <w:p>
            <w:pPr>
              <w:spacing w:after="240"/>
            </w:pPr>
            <w:r>
              <w:rPr>
                <w:b/>
                <w:u w:val="single"/>
              </w:rPr>
              <w:t>PRIOR HISTORY</w:t>
            </w:r>
          </w:p>
          <w:p>
            <w:pPr>
              <w:pStyle w:val="NormalWeb"/>
              <w:spacing w:line="240" w:lineRule="auto"/>
            </w:pPr>
            <w:r>
              <w:t xml:space="preserve">H.3310 of the 2013/2014 Legislative Session was placed in a study. S.668 of the 2015/2016 Legislative Session was placed in a study. S.694 of the 2017/2018 Legislative Session was placed in a study. S.755 of the 2019/2020 Legislative Session was placed in a study. S.844 of the 2021/2022 Legislative Session was placed in a study. S.833 of the 2023/2024 Legislative Session was placed in a study. </w:t>
            </w:r>
          </w:p>
        </w:tc>
      </w:tr>
      <w:tr>
        <w:tc>
          <w:tcPr>
            <w:tcW w:w="10188" w:type="dxa"/>
            <w:gridSpan w:val="2"/>
          </w:tcPr>
          <w:p>
            <w:pPr>
              <w:spacing w:after="240"/>
              <w:keepNext/>
              <w:keepLines/>
            </w:pPr>
            <w:r>
              <w:rPr>
                <w:b/>
                <w:u w:val="single"/>
              </w:rPr>
              <w:t>SUMMARY</w:t>
            </w:r>
          </w:p>
          <w:p>
            <w:pPr>
              <w:pStyle w:val="NormalWeb"/>
              <w:spacing w:line="240" w:lineRule="auto"/>
            </w:pPr>
            <w:r>
              <w:t xml:space="preserve">This bill requires institutions to maintain a written conflict-of-interest policy to eliminate or minimize potential conflicts of interest for faculty or staff that develop a financial relationship with any entity other than their primary employer or government agency. Such relationships include anything of material monetary value received, equity interests, and intellectual property rights. Faculty or staff with this relationship must disclose it to the public. Both the relationship and policy should be available to the public online. The board of higher education and the state ethics commission will issue guidelines for conflict-of-interest policies. </w:t>
            </w:r>
          </w:p>
          <w:p>
            <w:pPr>
              <w:pStyle w:val="NormalWeb"/>
              <w:spacing w:line="240" w:lineRule="auto"/>
            </w:pPr>
            <w:r>
              <w:t xml:space="preserve">SECTION-BY-SECTION SUMMARY:</w:t>
            </w:r>
          </w:p>
          <w:p>
            <w:pPr>
              <w:pStyle w:val="NormalWeb"/>
              <w:spacing w:line="240" w:lineRule="auto"/>
            </w:pPr>
            <w:r>
              <w:t xml:space="preserve">SECTION 1:</w:t>
            </w:r>
          </w:p>
          <w:p>
            <w:pPr>
              <w:pStyle w:val="NormalWeb"/>
              <w:spacing w:line="240" w:lineRule="auto"/>
            </w:pPr>
            <w:r>
              <w:t xml:space="preserve">Inserts after 30A in chapter 69 the following 30B;</w:t>
            </w:r>
          </w:p>
          <w:p>
            <w:pPr>
              <w:pStyle w:val="NormalWeb"/>
              <w:spacing w:line="240" w:lineRule="auto"/>
            </w:pPr>
            <w:r>
              <w:t xml:space="preserve">(a) Defines “institution” as public and private institutions of higher education.</w:t>
            </w:r>
          </w:p>
          <w:p>
            <w:pPr>
              <w:pStyle w:val="NormalWeb"/>
              <w:spacing w:line="240" w:lineRule="auto"/>
            </w:pPr>
            <w:r>
              <w:t xml:space="preserve">(b) Requires each institution to maintain and publish online a written conflict-of-interest policy to eliminate or minimize potential conflicts of interest for faculty or staff that develop a financial relationship with any entity other than their  primary employer or a government agency. </w:t>
            </w:r>
          </w:p>
          <w:p>
            <w:pPr>
              <w:pStyle w:val="NormalWeb"/>
              <w:spacing w:line="240" w:lineRule="auto"/>
            </w:pPr>
            <w:r>
              <w:t xml:space="preserve">(c) Requires any faculty or staff member of an institution with a financial relationship with any entity other than his or her primary employer or a government agency to publicly disclose this relationship. Such relationships include anything of material monetary value received, equity interests, and intellectual property rights. </w:t>
            </w:r>
          </w:p>
          <w:p>
            <w:pPr>
              <w:pStyle w:val="NormalWeb"/>
              <w:spacing w:line="240" w:lineRule="auto"/>
            </w:pPr>
            <w:r>
              <w:t xml:space="preserve">(d) Requires the board of higher education to collaborate with the state ethics commission to issue guidelines that assist institutions in developing conflict-of-interest policies and in complying with this section. </w:t>
            </w:r>
          </w:p>
          <w:p>
            <w:pPr>
              <w:pStyle w:val="NormalWeb"/>
              <w:spacing w:line="240" w:lineRule="auto"/>
            </w:pPr>
            <w:r>
              <w:t xml:space="preserve">SECTION 2:</w:t>
            </w:r>
          </w:p>
          <w:p>
            <w:pPr>
              <w:pStyle w:val="NormalWeb"/>
              <w:spacing w:line="240" w:lineRule="auto"/>
            </w:pPr>
            <w:r>
              <w:t xml:space="preserve">Requires the board of higher education to issue the guidelines required pursuant to subsection (d) of section 30B of chapter 69 no later than 270 days after the passage of this act.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