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Aging and Independence</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796</w:t>
            </w:r>
          </w:p>
        </w:tc>
      </w:tr>
      <w:tr>
        <w:tc>
          <w:tcPr>
            <w:tcW w:w="2538" w:type="dxa"/>
          </w:tcPr>
          <w:p>
            <w:r>
              <w:rPr>
                <w:b/>
                <w:u w:val="single"/>
              </w:rPr>
              <w:t>TITLE</w:t>
            </w:r>
          </w:p>
        </w:tc>
        <w:tc>
          <w:tcPr>
            <w:tcW w:w="7650" w:type="dxa"/>
          </w:tcPr>
          <w:p>
            <w:pPr>
              <w:spacing w:after="240"/>
            </w:pPr>
            <w:r>
              <w:t>An Act to establish the office of older adult advocate</w:t>
            </w:r>
          </w:p>
        </w:tc>
      </w:tr>
      <w:tr>
        <w:tc>
          <w:tcPr>
            <w:tcW w:w="2538" w:type="dxa"/>
          </w:tcPr>
          <w:p>
            <w:pPr>
              <w:spacing w:after="240"/>
            </w:pPr>
            <w:r>
              <w:rPr>
                <w:b/>
                <w:u w:val="single"/>
              </w:rPr>
              <w:t>SPONSORS</w:t>
            </w:r>
          </w:p>
        </w:tc>
        <w:tc>
          <w:tcPr>
            <w:tcW w:w="7650" w:type="dxa"/>
          </w:tcPr>
          <w:p>
            <w:pPr>
              <w:spacing w:after="240"/>
            </w:pPr>
            <w:r>
              <w:t>Representatives Ultrino of Malden, Sangiolo of Newton, and Higgins of Leominster</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None.</w:t>
            </w:r>
          </w:p>
        </w:tc>
      </w:tr>
      <w:tr>
        <w:tc>
          <w:tcPr>
            <w:tcW w:w="10188" w:type="dxa"/>
            <w:gridSpan w:val="2"/>
          </w:tcPr>
          <w:p>
            <w:pPr>
              <w:spacing w:after="240"/>
            </w:pPr>
            <w:r>
              <w:rPr>
                <w:b/>
                <w:u w:val="single"/>
              </w:rPr>
              <w:t>PRIOR HISTORY</w:t>
            </w:r>
          </w:p>
          <w:p>
            <w:pPr>
              <w:pStyle w:val="NormalWeb"/>
              <w:spacing w:line="240" w:lineRule="auto"/>
            </w:pPr>
            <w:r>
              <w:t xml:space="preserve">193rd Session (2023-2024): H.622 was referred to the Joint Committee on Elder Affairs, and accompanied a study order, H4537.  </w:t>
            </w:r>
          </w:p>
        </w:tc>
      </w:tr>
      <w:tr>
        <w:tc>
          <w:tcPr>
            <w:tcW w:w="10188" w:type="dxa"/>
            <w:gridSpan w:val="2"/>
          </w:tcPr>
          <w:p>
            <w:pPr>
              <w:spacing w:after="240"/>
              <w:keepNext/>
              <w:keepLines/>
            </w:pPr>
            <w:r>
              <w:rPr>
                <w:b/>
                <w:u w:val="single"/>
              </w:rPr>
              <w:t>SUMMARY</w:t>
            </w:r>
          </w:p>
          <w:p>
            <w:pPr>
              <w:pStyle w:val="NormalWeb"/>
              <w:spacing w:line="240" w:lineRule="auto"/>
            </w:pPr>
            <w:r>
              <w:t xml:space="preserve">H.796 establishes the Office of the Older Adult Advocate, an independent state agency, tasked with ensuring that older adults who receive care through public-funded programs are treated humanely and with dignity. The agency will aid and coordinate with local councils on aging (COAs) and aging service access points (ASAPs) to ensure that older adults are receiving all available state and federal benefits. It will also advise the public and state government officials about how the commonwealth may improve its services to and for older adults and their families.   </w:t>
            </w:r>
          </w:p>
          <w:p>
            <w:pPr>
              <w:pStyle w:val="NormalWeb"/>
              <w:spacing w:line="240" w:lineRule="auto"/>
            </w:pPr>
            <w:r>
              <w:t xml:space="preserve">SECTION-BY-SECTION SUMMARY: </w:t>
            </w:r>
          </w:p>
          <w:p>
            <w:pPr>
              <w:pStyle w:val="NormalWeb"/>
              <w:spacing w:line="240" w:lineRule="auto"/>
            </w:pPr>
            <w:r>
              <w:t xml:space="preserve">H.796 creates a new Chapter 117B: Office of Older Adult Advocate.   </w:t>
            </w:r>
          </w:p>
          <w:p>
            <w:pPr>
              <w:pStyle w:val="NormalWeb"/>
              <w:spacing w:line="240" w:lineRule="auto"/>
            </w:pPr>
            <w:r>
              <w:t xml:space="preserve">Section 1 of Chapter 117B provides definitions of "executive agency", "nominating committee", "office", "older adult advocate", "older adult" and veteran."   </w:t>
            </w:r>
          </w:p>
          <w:p>
            <w:pPr>
              <w:pStyle w:val="NormalWeb"/>
              <w:spacing w:line="240" w:lineRule="auto"/>
            </w:pPr>
            <w:r>
              <w:t xml:space="preserve">Section 2 of Chapter 117B outlines the following duties of Office of Older Adult Advocate:   </w:t>
            </w:r>
          </w:p>
          <w:p>
            <w:pPr>
              <w:pStyle w:val="NormalWeb"/>
              <w:spacing w:line="240" w:lineRule="auto"/>
            </w:pPr>
            <w:r>
              <w:t xml:space="preserve">(i) ensuring that older adults in the care of the commonwealth or receiving services under the supervision of an executive agency in any public or private facility receive humane and dignified treatment at all times, with full respect for the older adults' personal dignity and right to privacy;   </w:t>
            </w:r>
          </w:p>
          <w:p>
            <w:pPr>
              <w:pStyle w:val="NormalWeb"/>
              <w:spacing w:line="240" w:lineRule="auto"/>
            </w:pPr>
            <w:r>
              <w:t xml:space="preserve">(ii) ensuring that older adults in the care of the commonwealth or receiving services under the supervision of an executive agency in any public or private facility receive timely, safe and effective services;   </w:t>
            </w:r>
          </w:p>
          <w:p>
            <w:pPr>
              <w:pStyle w:val="NormalWeb"/>
              <w:spacing w:line="240" w:lineRule="auto"/>
            </w:pPr>
            <w:r>
              <w:t xml:space="preserve">(iii) aiding and coordinating with local councils on aging and aging services access point to ensure older adults receive all available state and federal benefits;   </w:t>
            </w:r>
          </w:p>
          <w:p>
            <w:pPr>
              <w:pStyle w:val="NormalWeb"/>
              <w:spacing w:line="240" w:lineRule="auto"/>
            </w:pPr>
            <w:r>
              <w:t xml:space="preserve">(iv) examining, on a system-wide basis, the care and services that executive agencies provide adults;    </w:t>
            </w:r>
          </w:p>
          <w:p>
            <w:pPr>
              <w:pStyle w:val="NormalWeb"/>
              <w:spacing w:line="240" w:lineRule="auto"/>
            </w:pPr>
            <w:r>
              <w:t xml:space="preserve">(v) advising the public and those at the highest levels of state government about how the commonwealth may improve its services to and for older adults and their families;   </w:t>
            </w:r>
          </w:p>
          <w:p>
            <w:pPr>
              <w:pStyle w:val="NormalWeb"/>
              <w:spacing w:line="240" w:lineRule="auto"/>
            </w:pPr>
            <w:r>
              <w:t xml:space="preserve">(vi) developing internal procedures appropriate for the effective performance of the office's duties; </w:t>
            </w:r>
          </w:p>
          <w:p>
            <w:pPr>
              <w:pStyle w:val="NormalWeb"/>
              <w:spacing w:line="240" w:lineRule="auto"/>
            </w:pPr>
            <w:r>
              <w:t xml:space="preserve">(vii) acting as a liaison to all state agencies providing services to older adults to ensure each older adult receives necessary services and care;   </w:t>
            </w:r>
          </w:p>
          <w:p>
            <w:pPr>
              <w:pStyle w:val="NormalWeb"/>
              <w:spacing w:line="240" w:lineRule="auto"/>
            </w:pPr>
            <w:r>
              <w:t xml:space="preserve">(viii) assisting in developing procedures for the executive agencies to best serve the older adult community;   </w:t>
            </w:r>
          </w:p>
          <w:p>
            <w:pPr>
              <w:pStyle w:val="NormalWeb"/>
              <w:spacing w:line="240" w:lineRule="auto"/>
            </w:pPr>
            <w:r>
              <w:t xml:space="preserve">(ix) acting as a liaison to the Administration for Community Living of the United States Department of Health and Human Services and all other relevant federal agencies to advocate on behalf of the older adults of the commonwealth; and   </w:t>
            </w:r>
          </w:p>
          <w:p>
            <w:pPr>
              <w:pStyle w:val="NormalWeb"/>
              <w:spacing w:line="240" w:lineRule="auto"/>
            </w:pPr>
            <w:r>
              <w:t xml:space="preserve">(x) investigating incidents where a older adults suffered a fatality, near fatality or serious bodily or emotional injury, including so-called “no harm” incidents, while receiving services from an executive agency, or circumstances which result in a reasonable belief that an executive agency or a constituent agency failed in its duty to care for an older adult and, as a result, the older adult was at imminent risk of, or suffered serious bodily or emotional injury or death.   </w:t>
            </w:r>
          </w:p>
          <w:p>
            <w:pPr>
              <w:pStyle w:val="NormalWeb"/>
              <w:spacing w:line="240" w:lineRule="auto"/>
            </w:pPr>
            <w:r>
              <w:t xml:space="preserve">Section 3 (a) of Chapter 117B creates the nominating committee and requires said committee to recommend the older adult advocate who will oversee the office of the older adult advocate. Requires the nominating committee to consist of the following:   </w:t>
            </w:r>
          </w:p>
          <w:p>
            <w:pPr>
              <w:pStyle w:val="NormalWeb"/>
              <w:spacing w:line="240" w:lineRule="auto"/>
            </w:pPr>
            <w:r>
              <w:t xml:space="preserve">the secretary of aging and independence, or a designee, who shall serve as chair  </w:t>
            </w:r>
          </w:p>
          <w:p>
            <w:pPr>
              <w:pStyle w:val="NormalWeb"/>
              <w:spacing w:line="240" w:lineRule="auto"/>
            </w:pPr>
            <w:r>
              <w:t xml:space="preserve">the secretary of housing and livable communities  </w:t>
            </w:r>
          </w:p>
          <w:p>
            <w:pPr>
              <w:pStyle w:val="NormalWeb"/>
              <w:spacing w:line="240" w:lineRule="auto"/>
            </w:pPr>
            <w:r>
              <w:t xml:space="preserve">the secretary of health and human services, or a designee  </w:t>
            </w:r>
          </w:p>
          <w:p>
            <w:pPr>
              <w:pStyle w:val="NormalWeb"/>
              <w:spacing w:line="240" w:lineRule="auto"/>
            </w:pPr>
            <w:r>
              <w:t xml:space="preserve">the secretary of public safety, or a designee  </w:t>
            </w:r>
          </w:p>
          <w:p>
            <w:pPr>
              <w:pStyle w:val="NormalWeb"/>
              <w:spacing w:line="240" w:lineRule="auto"/>
            </w:pPr>
            <w:r>
              <w:t xml:space="preserve">the commissioner of mental health  </w:t>
            </w:r>
          </w:p>
          <w:p>
            <w:pPr>
              <w:pStyle w:val="NormalWeb"/>
              <w:spacing w:line="240" w:lineRule="auto"/>
            </w:pPr>
            <w:r>
              <w:t xml:space="preserve">the commissioner of public health or a designee  </w:t>
            </w:r>
          </w:p>
          <w:p>
            <w:pPr>
              <w:pStyle w:val="NormalWeb"/>
              <w:spacing w:line="240" w:lineRule="auto"/>
            </w:pPr>
            <w:r>
              <w:t xml:space="preserve">the house and senate chairs of the joint committee on aging and independence  </w:t>
            </w:r>
          </w:p>
          <w:p>
            <w:pPr>
              <w:pStyle w:val="NormalWeb"/>
              <w:spacing w:line="240" w:lineRule="auto"/>
            </w:pPr>
            <w:r>
              <w:t xml:space="preserve">the long-term care ombudsman or a designee  </w:t>
            </w:r>
          </w:p>
          <w:p>
            <w:pPr>
              <w:pStyle w:val="NormalWeb"/>
              <w:spacing w:line="240" w:lineRule="auto"/>
            </w:pPr>
            <w:r>
              <w:t xml:space="preserve">a representative of the AARP  </w:t>
            </w:r>
          </w:p>
          <w:p>
            <w:pPr>
              <w:pStyle w:val="NormalWeb"/>
              <w:spacing w:line="240" w:lineRule="auto"/>
            </w:pPr>
            <w:r>
              <w:t xml:space="preserve">a representative of Dignity Alliance Massachusetts  </w:t>
            </w:r>
          </w:p>
          <w:p>
            <w:pPr>
              <w:pStyle w:val="NormalWeb"/>
              <w:spacing w:line="240" w:lineRule="auto"/>
            </w:pPr>
            <w:r>
              <w:t xml:space="preserve">a representative of the Massachusetts Association of Councils on Aging  </w:t>
            </w:r>
          </w:p>
          <w:p>
            <w:pPr>
              <w:pStyle w:val="NormalWeb"/>
              <w:spacing w:line="240" w:lineRule="auto"/>
            </w:pPr>
            <w:r>
              <w:t xml:space="preserve">a representative of the Alzheimer’s Association  </w:t>
            </w:r>
          </w:p>
          <w:p>
            <w:pPr>
              <w:pStyle w:val="NormalWeb"/>
              <w:spacing w:line="240" w:lineRule="auto"/>
            </w:pPr>
            <w:r>
              <w:t xml:space="preserve">a representative of Mass Aging Access  </w:t>
            </w:r>
          </w:p>
          <w:p>
            <w:pPr>
              <w:pStyle w:val="NormalWeb"/>
              <w:spacing w:line="240" w:lineRule="auto"/>
            </w:pPr>
            <w:r>
              <w:t xml:space="preserve">a representative of the Home Care Alliance of Massachusetts.  </w:t>
            </w:r>
          </w:p>
          <w:p>
            <w:pPr>
              <w:pStyle w:val="NormalWeb"/>
              <w:spacing w:line="240" w:lineRule="auto"/>
            </w:pPr>
            <w:r>
              <w:t xml:space="preserve">Requires the nominating committee to submit salary recommendations for the candidates for the older adult advocate. Requires for the nominating committee to coordinate it work with the executive office of aging and independence.  </w:t>
            </w:r>
          </w:p>
          <w:p>
            <w:pPr>
              <w:pStyle w:val="NormalWeb"/>
              <w:spacing w:line="240" w:lineRule="auto"/>
            </w:pPr>
            <w:r>
              <w:t xml:space="preserve">Section 3 (b) of Chapter 117B requires that the older adult advocate be selected without regard to political affiliation. Allows the older adult advocate, subject to appropriation, to appoint other personnel as they deem necessary.  </w:t>
            </w:r>
          </w:p>
          <w:p>
            <w:pPr>
              <w:pStyle w:val="NormalWeb"/>
              <w:spacing w:line="240" w:lineRule="auto"/>
            </w:pPr>
            <w:r>
              <w:t xml:space="preserve">Section 3 (c) of Chapter 117B requires that the older adult advocate to serve for a term of 5 years. Requires for a successor to be appointed if there is a vacancy in the same manner for the remainder of the unexpired term.   </w:t>
            </w:r>
          </w:p>
          <w:p>
            <w:pPr>
              <w:pStyle w:val="NormalWeb"/>
              <w:spacing w:line="240" w:lineRule="auto"/>
            </w:pPr>
            <w:r>
              <w:t xml:space="preserve">Section 3 (d) of Chapter 117B requires that the older adult advocate be removed from office by a majority vote of the attorney general, the state auditor, and the governor. </w:t>
            </w:r>
          </w:p>
          <w:p>
            <w:pPr>
              <w:pStyle w:val="NormalWeb"/>
              <w:spacing w:line="240" w:lineRule="auto"/>
            </w:pPr>
            <w:r>
              <w:t xml:space="preserve">Section 5 of Chapter 117B requires that the office of the veterans’ advocate serve as the primary agency for older adults receiving services determined by veterans’ status and for the older adults advocate to serve as the primary agency for older adults receiving services determined by age. </w:t>
            </w:r>
          </w:p>
          <w:p>
            <w:pPr>
              <w:pStyle w:val="NormalWeb"/>
              <w:spacing w:line="240" w:lineRule="auto"/>
            </w:pPr>
            <w:r>
              <w:t xml:space="preserve">Section 6 of Chapter 117B requires the older adult advocate to annually report on the activities of the office, including an analysis of the delivery of services to older adults and recommendations for changes in agency procedures which would enable the commonwealth to better provide services to and for older adults and their families and priorities for implementation of those changes to services. Requires for the report to be made public on the website of the older advocate.</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