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Aging and Independence</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4039</w:t>
            </w:r>
          </w:p>
        </w:tc>
      </w:tr>
      <w:tr>
        <w:tc>
          <w:tcPr>
            <w:tcW w:w="2538" w:type="dxa"/>
          </w:tcPr>
          <w:p>
            <w:r>
              <w:rPr>
                <w:b/>
                <w:u w:val="single"/>
              </w:rPr>
              <w:t>TITLE</w:t>
            </w:r>
          </w:p>
        </w:tc>
        <w:tc>
          <w:tcPr>
            <w:tcW w:w="7650" w:type="dxa"/>
          </w:tcPr>
          <w:p>
            <w:pPr>
              <w:spacing w:after="240"/>
            </w:pPr>
            <w:r>
              <w:t>An Act relative to universal breakfast and lunch at senior centers</w:t>
            </w:r>
          </w:p>
        </w:tc>
      </w:tr>
      <w:tr>
        <w:tc>
          <w:tcPr>
            <w:tcW w:w="2538" w:type="dxa"/>
          </w:tcPr>
          <w:p>
            <w:pPr>
              <w:spacing w:after="240"/>
            </w:pPr>
            <w:r>
              <w:rPr>
                <w:b/>
                <w:u w:val="single"/>
              </w:rPr>
              <w:t>SPONSORS</w:t>
            </w:r>
          </w:p>
        </w:tc>
        <w:tc>
          <w:tcPr>
            <w:tcW w:w="7650" w:type="dxa"/>
          </w:tcPr>
          <w:p>
            <w:pPr>
              <w:spacing w:after="240"/>
            </w:pPr>
            <w:r>
              <w:t>Representative Badger of Plymouth</w:t>
            </w:r>
          </w:p>
        </w:tc>
      </w:tr>
      <w:tr>
        <w:trPr>
          <w:trHeight w:val="540"/>
        </w:trPr>
        <w:tc>
          <w:tcPr>
            <w:tcW w:w="2538" w:type="dxa"/>
          </w:tcPr>
          <w:p>
            <w:r>
              <w:rPr>
                <w:b/>
                <w:u w:val="single"/>
              </w:rPr>
              <w:t>HEARING DATE</w:t>
            </w:r>
          </w:p>
        </w:tc>
        <w:tc>
          <w:tcPr>
            <w:tcW w:w="7650" w:type="dxa"/>
          </w:tcPr>
          <w:p>
            <w:r>
              <w:t>Monday, May 12, 2025</w:t>
              <w:t xml:space="preserve"> at </w:t>
              <w:t>10:00 AM</w:t>
              <w:t xml:space="preserve"> - </w:t>
              <w:t>01:00 PM</w:t>
              <w:t xml:space="preserve">, </w:t>
              <w:t>A-1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None.</w:t>
            </w:r>
          </w:p>
        </w:tc>
      </w:tr>
      <w:tr>
        <w:tc>
          <w:tcPr>
            <w:tcW w:w="10188" w:type="dxa"/>
            <w:gridSpan w:val="2"/>
          </w:tcPr>
          <w:p>
            <w:pPr>
              <w:spacing w:after="240"/>
            </w:pPr>
            <w:r>
              <w:rPr>
                <w:b/>
                <w:u w:val="single"/>
              </w:rPr>
              <w:t>PRIOR HISTORY</w:t>
            </w:r>
          </w:p>
          <w:p>
            <w:pPr>
              <w:pStyle w:val="NormalWeb"/>
              <w:spacing w:line="240" w:lineRule="auto"/>
            </w:pPr>
            <w:r>
              <w:t xml:space="preserve">New file.</w:t>
            </w:r>
          </w:p>
        </w:tc>
      </w:tr>
      <w:tr>
        <w:tc>
          <w:tcPr>
            <w:tcW w:w="10188" w:type="dxa"/>
            <w:gridSpan w:val="2"/>
          </w:tcPr>
          <w:p>
            <w:pPr>
              <w:spacing w:after="240"/>
            </w:pPr>
            <w:r>
              <w:rPr>
                <w:b/>
                <w:u w:val="single"/>
              </w:rPr>
              <w:t>CURRENT LAW</w:t>
            </w:r>
          </w:p>
          <w:p>
            <w:pPr>
              <w:pStyle w:val="NormalWeb"/>
              <w:spacing w:line="240" w:lineRule="auto"/>
            </w:pPr>
            <w:r>
              <w:t xml:space="preserve">M.G.L. c. 19A establishes the Executive Office of Aging and Independence (AGE) and grants it authority to coordinate and oversee programs and services for older adults in Massachusetts.  </w:t>
            </w:r>
          </w:p>
          <w:p>
            <w:pPr>
              <w:pStyle w:val="NormalWeb"/>
              <w:spacing w:line="240" w:lineRule="auto"/>
            </w:pPr>
            <w:r>
              <w:t xml:space="preserve">M.G.L. c. 29 establishes the framework for managing public funds, including the creation and administration of dedicated state accounts.  </w:t>
            </w:r>
          </w:p>
          <w:p>
            <w:pPr>
              <w:pStyle w:val="NormalWeb"/>
              <w:spacing w:line="240" w:lineRule="auto"/>
            </w:pPr>
            <w:r>
              <w:t xml:space="preserve">M.G.L. c. 64H § 6(k) lists sales and gross receipts exempt from the sales tax  </w:t>
            </w:r>
          </w:p>
        </w:tc>
      </w:tr>
      <w:tr>
        <w:tc>
          <w:tcPr>
            <w:tcW w:w="10188" w:type="dxa"/>
            <w:gridSpan w:val="2"/>
          </w:tcPr>
          <w:p>
            <w:pPr>
              <w:spacing w:after="240"/>
              <w:keepNext/>
              <w:keepLines/>
            </w:pPr>
            <w:r>
              <w:rPr>
                <w:b/>
                <w:u w:val="single"/>
              </w:rPr>
              <w:t>SUMMARY</w:t>
            </w:r>
          </w:p>
          <w:p>
            <w:pPr>
              <w:pStyle w:val="NormalWeb"/>
              <w:spacing w:line="240" w:lineRule="auto"/>
            </w:pPr>
            <w:r>
              <w:t xml:space="preserve">H.4039 requires (AGE) to provide universal breakfast and lunch at senior centers, centers for active living, and councils on aging across the Commonwealth, provided the site has a kitchen. It also creates the Senior Breakfast and Lunch Fund, which will support and sustain the program through interest earned on the fund, private contributions, federal grants, and a portion of sales tax revenue on luxury clothing.  </w:t>
            </w:r>
          </w:p>
          <w:p>
            <w:pPr>
              <w:pStyle w:val="NormalWeb"/>
              <w:spacing w:line="240" w:lineRule="auto"/>
            </w:pPr>
            <w:r>
              <w:t xml:space="preserve">SECTION-BY-SECTION SUMMARY:  </w:t>
            </w:r>
          </w:p>
          <w:p>
            <w:pPr>
              <w:pStyle w:val="NormalWeb"/>
              <w:spacing w:line="240" w:lineRule="auto"/>
            </w:pPr>
            <w:r>
              <w:t xml:space="preserve">Section 1 adds Section 45 to M.G.L. c. 19A  </w:t>
            </w:r>
          </w:p>
          <w:p>
            <w:pPr>
              <w:pStyle w:val="NormalWeb"/>
              <w:spacing w:line="240" w:lineRule="auto"/>
            </w:pPr>
            <w:r>
              <w:t xml:space="preserve">Subsection (a) defines “center for active living,” “senior center,” or “council on aging” as community-based organizations that provide services for older adults and people with disabilities.  </w:t>
            </w:r>
          </w:p>
          <w:p>
            <w:pPr>
              <w:pStyle w:val="NormalWeb"/>
              <w:spacing w:line="240" w:lineRule="auto"/>
            </w:pPr>
            <w:r>
              <w:t xml:space="preserve">Subsection (b) requires AGE to provide universal breakfast and lunch at all senior centers, centers for active living, and councils on aging with kitchens in the Commonwealth.   </w:t>
            </w:r>
          </w:p>
          <w:p>
            <w:pPr>
              <w:pStyle w:val="NormalWeb"/>
              <w:spacing w:line="240" w:lineRule="auto"/>
            </w:pPr>
            <w:r>
              <w:t xml:space="preserve">Subsection (c) requires the universal meals program to be funded by the Senior Breakfast and Lunch Fund established in Section 2 of the bill. </w:t>
            </w:r>
          </w:p>
          <w:p>
            <w:pPr>
              <w:pStyle w:val="NormalWeb"/>
              <w:spacing w:line="240" w:lineRule="auto"/>
            </w:pPr>
            <w:r>
              <w:t xml:space="preserve">Section 2 adds Section 2KKKKKK to M.G.L. c. 29  </w:t>
            </w:r>
          </w:p>
          <w:p>
            <w:pPr>
              <w:pStyle w:val="NormalWeb"/>
              <w:spacing w:line="240" w:lineRule="auto"/>
            </w:pPr>
            <w:r>
              <w:t xml:space="preserve">Subsection (a) defines “Center for active living,” “senior center,” and “council on aging” as the same in Section 1. Also defines “department” as AGE, and “Secretary” as the AGE Secretary.   </w:t>
            </w:r>
          </w:p>
          <w:p>
            <w:pPr>
              <w:pStyle w:val="NormalWeb"/>
              <w:spacing w:line="240" w:lineRule="auto"/>
            </w:pPr>
            <w:r>
              <w:t xml:space="preserve">Subsection (b) establishes the Senior Breakfast and Lunch Fund to be administered by the AGE Secretary, to support the universal meals program established in Section 45 of Chapter 19A.  </w:t>
            </w:r>
          </w:p>
          <w:p>
            <w:pPr>
              <w:pStyle w:val="NormalWeb"/>
              <w:spacing w:line="240" w:lineRule="auto"/>
            </w:pPr>
            <w:r>
              <w:t xml:space="preserve">Subsection (c) outlines the funding sources for the fund, including General Court appropriations, interest earned on the fund, contributions from private sector entities, federal grants, gifts, and donations, and sales tax revenue from luxury clothing and footwear under M.G.L. c.64H §6(k).   </w:t>
            </w:r>
          </w:p>
          <w:p>
            <w:pPr>
              <w:pStyle w:val="NormalWeb"/>
              <w:spacing w:line="240" w:lineRule="auto"/>
            </w:pPr>
            <w:r>
              <w:t xml:space="preserve">Subsection (d) requires the AGE Secretary to use funding from the Senior Breakfast and Lunch Fund to (i) create universal breakfast and lunch programs at senior centers, centers for active living and councils on aging, (ii) improving kitchens at these facilities, (iii) partnering with existing breakfast and lunch programs, and (iv) providing resources to these facilities on how to best provide universal breakfast and lunch.  </w:t>
            </w:r>
          </w:p>
          <w:p>
            <w:pPr>
              <w:pStyle w:val="NormalWeb"/>
              <w:spacing w:line="240" w:lineRule="auto"/>
            </w:pPr>
            <w:r>
              <w:t xml:space="preserve">Subsection (e) requires AGE to submit an annual report by December 31 to the Joint Committee on Aging and Independence, the Joint Committee on Municipalities and Regional Government, the House and Senate Committees on Ways and Means, and the Clerks of the House and Senate.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