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JOINT COMMITTEE ON CHILDREN, FAMILIES AND PERSONS WITH DISABILITIES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2025-2026 (194</w:t>
      </w:r>
      <w:r w:rsidDel="00000000" w:rsidR="00000000" w:rsidRPr="00000000">
        <w:rPr>
          <w:rFonts w:ascii="Times New Roman" w:cs="Times New Roman" w:eastAsia="Times New Roman" w:hAnsi="Times New Roman"/>
          <w:b w:val="1"/>
          <w:sz w:val="28"/>
          <w:szCs w:val="28"/>
          <w:vertAlign w:val="superscript"/>
          <w:rtl w:val="0"/>
        </w:rPr>
        <w:t xml:space="preserve">th</w:t>
      </w:r>
      <w:r w:rsidDel="00000000" w:rsidR="00000000" w:rsidRPr="00000000">
        <w:rPr>
          <w:rFonts w:ascii="Times New Roman" w:cs="Times New Roman" w:eastAsia="Times New Roman" w:hAnsi="Times New Roman"/>
          <w:b w:val="1"/>
          <w:rtl w:val="0"/>
        </w:rPr>
        <w:t xml:space="preserve">) BILL SUMMARY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Bill Number:</w:t>
      </w:r>
      <w:r w:rsidDel="00000000" w:rsidR="00000000" w:rsidRPr="00000000">
        <w:rPr>
          <w:rFonts w:ascii="Times New Roman" w:cs="Times New Roman" w:eastAsia="Times New Roman" w:hAnsi="Times New Roman"/>
          <w:rtl w:val="0"/>
        </w:rPr>
        <w:t xml:space="preserve"> H.213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Title: A</w:t>
      </w:r>
      <w:r w:rsidDel="00000000" w:rsidR="00000000" w:rsidRPr="00000000">
        <w:rPr>
          <w:rFonts w:ascii="Times New Roman" w:cs="Times New Roman" w:eastAsia="Times New Roman" w:hAnsi="Times New Roman"/>
          <w:rtl w:val="0"/>
        </w:rPr>
        <w:t xml:space="preserve">n Act ensuring access to behavioral health services for children involved with state agencies</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Sponsor(s): </w:t>
      </w:r>
      <w:r w:rsidDel="00000000" w:rsidR="00000000" w:rsidRPr="00000000">
        <w:rPr>
          <w:rFonts w:ascii="Times New Roman" w:cs="Times New Roman" w:eastAsia="Times New Roman" w:hAnsi="Times New Roman"/>
          <w:rtl w:val="0"/>
        </w:rPr>
        <w:t xml:space="preserve">Rep. Majorie C. Decker </w:t>
      </w:r>
      <w:r w:rsidDel="00000000" w:rsidR="00000000" w:rsidRPr="00000000">
        <w:rPr>
          <w:rFonts w:ascii="Times New Roman" w:cs="Times New Roman" w:eastAsia="Times New Roman" w:hAnsi="Times New Roman"/>
          <w:i w:val="1"/>
          <w:rtl w:val="0"/>
        </w:rPr>
        <w:t xml:space="preserve">(Cambridge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Hearing Date: </w:t>
      </w:r>
      <w:r w:rsidDel="00000000" w:rsidR="00000000" w:rsidRPr="00000000">
        <w:rPr>
          <w:rFonts w:ascii="Times New Roman" w:cs="Times New Roman" w:eastAsia="Times New Roman" w:hAnsi="Times New Roman"/>
          <w:rtl w:val="0"/>
        </w:rPr>
        <w:t xml:space="preserve">September 9, 2025 </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Reporting Deadline: </w:t>
      </w:r>
      <w:r w:rsidDel="00000000" w:rsidR="00000000" w:rsidRPr="00000000">
        <w:rPr>
          <w:rFonts w:ascii="Times New Roman" w:cs="Times New Roman" w:eastAsia="Times New Roman" w:hAnsi="Times New Roman"/>
          <w:rtl w:val="0"/>
        </w:rPr>
        <w:t xml:space="preserve">November 8, 2025 </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Similar Bills: </w:t>
      </w:r>
      <w:r w:rsidDel="00000000" w:rsidR="00000000" w:rsidRPr="00000000">
        <w:rPr>
          <w:rFonts w:ascii="Times New Roman" w:cs="Times New Roman" w:eastAsia="Times New Roman" w:hAnsi="Times New Roman"/>
          <w:rtl w:val="0"/>
        </w:rPr>
        <w:t xml:space="preserve">S.111 (Sen. Brendan P. Crighton – Identical)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Prior History: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2023-24 (H.146): Reported favorably; Referred to Health Care Financing; Ought to Pass; Referred to Rules of the two branches; Discharged to House Rules, Ought to Pass; Referred to HWM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CURRENT LAW: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color w:val="0f4761"/>
        </w:rPr>
      </w:pPr>
      <w:r w:rsidDel="00000000" w:rsidR="00000000" w:rsidRPr="00000000">
        <w:rPr>
          <w:rFonts w:ascii="Times New Roman" w:cs="Times New Roman" w:eastAsia="Times New Roman" w:hAnsi="Times New Roman"/>
          <w:i w:val="1"/>
          <w:color w:val="0f4761"/>
          <w:rtl w:val="0"/>
        </w:rPr>
        <w:t xml:space="preserve">M.G.L. c. 6A, §16R - Executive Offices; Interagency review team for complex cases: </w:t>
      </w:r>
      <w:r w:rsidDel="00000000" w:rsidR="00000000" w:rsidRPr="00000000">
        <w:rPr>
          <w:rFonts w:ascii="Times New Roman" w:cs="Times New Roman" w:eastAsia="Times New Roman" w:hAnsi="Times New Roman"/>
          <w:color w:val="0f4761"/>
          <w:rtl w:val="0"/>
        </w:rPr>
        <w:t xml:space="preserve">This section establishes the interagency review team to collaborate on complex cases where there is a lack of consensus between state agencies regarding service needs or the placement of an individual in its care.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color w:val="0f4761"/>
        </w:rPr>
      </w:pPr>
      <w:r w:rsidDel="00000000" w:rsidR="00000000" w:rsidRPr="00000000">
        <w:rPr>
          <w:rFonts w:ascii="Times New Roman" w:cs="Times New Roman" w:eastAsia="Times New Roman" w:hAnsi="Times New Roman"/>
          <w:color w:val="0f4761"/>
          <w:rtl w:val="0"/>
        </w:rPr>
        <w:t xml:space="preserve">M</w:t>
      </w:r>
      <w:r w:rsidDel="00000000" w:rsidR="00000000" w:rsidRPr="00000000">
        <w:rPr>
          <w:rFonts w:ascii="Times New Roman" w:cs="Times New Roman" w:eastAsia="Times New Roman" w:hAnsi="Times New Roman"/>
          <w:i w:val="1"/>
          <w:color w:val="0f4761"/>
          <w:rtl w:val="0"/>
        </w:rPr>
        <w:t xml:space="preserve">.G.L. c. 19, §21 - Department of Mental Health;</w:t>
      </w:r>
      <w:r w:rsidDel="00000000" w:rsidR="00000000" w:rsidRPr="00000000">
        <w:rPr>
          <w:rFonts w:ascii="Times New Roman" w:cs="Times New Roman" w:eastAsia="Times New Roman" w:hAnsi="Times New Roman"/>
          <w:color w:val="0f4761"/>
          <w:rtl w:val="0"/>
        </w:rPr>
        <w:t xml:space="preserve"> </w:t>
      </w:r>
      <w:r w:rsidDel="00000000" w:rsidR="00000000" w:rsidRPr="00000000">
        <w:rPr>
          <w:rFonts w:ascii="Times New Roman" w:cs="Times New Roman" w:eastAsia="Times New Roman" w:hAnsi="Times New Roman"/>
          <w:i w:val="1"/>
          <w:color w:val="0f4761"/>
          <w:rtl w:val="0"/>
        </w:rPr>
        <w:t xml:space="preserve">Interagency agreements with Developmental Services Department: </w:t>
      </w:r>
      <w:r w:rsidDel="00000000" w:rsidR="00000000" w:rsidRPr="00000000">
        <w:rPr>
          <w:rFonts w:ascii="Times New Roman" w:cs="Times New Roman" w:eastAsia="Times New Roman" w:hAnsi="Times New Roman"/>
          <w:color w:val="0f4761"/>
          <w:rtl w:val="0"/>
        </w:rPr>
        <w:t xml:space="preserve">This section states that the Commissioner of the Department of Mental Health (DMH) may enter into interagency agreements with the Commissioner of the Department of Developmental Services (DDS) for the coordinated management of certain services that are required or that must be provided by both departments for persons with an intellectual disability.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30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M.G.L. c. 119, §33C - Protection and Care of Children, and Proceedings Against Them; Congregate care program; reasonable and prudent parent standard: </w:t>
      </w:r>
      <w:r w:rsidDel="00000000" w:rsidR="00000000" w:rsidRPr="00000000">
        <w:rPr>
          <w:rFonts w:ascii="Times New Roman" w:cs="Times New Roman" w:eastAsia="Times New Roman" w:hAnsi="Times New Roman"/>
          <w:rtl w:val="0"/>
        </w:rPr>
        <w:t xml:space="preserve">This section designates at least one employee present on-site at a congregate care program under contract by the Department of Children and Families (DCF) as the caregiver authorized to apply the reasonable and prudent parent standard to decisions involving the participation of the child in age or developmentally-appropriate activities. It provides immunity to the employee and their employer with respect to tort claims against them related to the employee’s decisions for the child.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SUMMARY: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bill amends M.G.L. c. 19, §21 requiring DMH</w:t>
      </w:r>
      <w:r w:rsidDel="00000000" w:rsidR="00000000" w:rsidRPr="00000000">
        <w:rPr>
          <w:rFonts w:ascii="Times New Roman" w:cs="Times New Roman" w:eastAsia="Times New Roman" w:hAnsi="Times New Roman"/>
          <w:color w:val="333333"/>
          <w:rtl w:val="0"/>
        </w:rPr>
        <w:t xml:space="preserve"> </w:t>
      </w:r>
      <w:r w:rsidDel="00000000" w:rsidR="00000000" w:rsidRPr="00000000">
        <w:rPr>
          <w:rFonts w:ascii="Times New Roman" w:cs="Times New Roman" w:eastAsia="Times New Roman" w:hAnsi="Times New Roman"/>
          <w:rtl w:val="0"/>
        </w:rPr>
        <w:t xml:space="preserve">to assume more responsibility specifically for individuals requiring specialized mental health services, including, inpatient mental health services, community-based acute treatment, intensive community-based acute treatment, mobile crisis intervention, intensive residential treatment programs, and crisis stabilization services.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33C of M.G.L. c. 119 is also amended by adding new subsections requiring DCF, the Department of Public Health (DPH), and DMH to develop a model emergency response plan that includes medical and behavioral health crisis responses for congregate care settings designed to limit referrals to law enforcement except in cases of imminent risk of death or serious physical, emotional or mental harm. DCF is to help congregate care settings to adapt this model, post it on its website, and review it every two years.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bill also requires that a child, following a medical or non-medical leave of absence from a DCF contracted congregate care program be allowed to return to the program if it is appropriate for their needs. DCF would be required to reimburse the program for each day of the hospitalization/absence in order to hold that bed for the child. At the request of the congregate care program or the setting where the child is awaiting discharge, DCF would be required to convene an emergency team within 2 business days to facilitate the child’s placement. If the team does not determine an appropriate placement within 7 days of convening and DCF deems additional state-agency involvement is necessary, DCF may refer the child to the complex case resolution panel. DCF is directed to collect data when such a congregate care program denies a child readmittance. The report for the Executive Office of Health and Human Services (EOHHS) and the Joint Committees on Mental Health, Substance Use and Recovery and Children, Families and Persons with Disabilities is to include the reasons the child was denied the readmittance and why mitigating efforts would have been inadequate.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DCF and DDS are directed in SECTIONS 4-5 to prepare plans to address access to behavioral and mental health services for individuals in their custody or care. The plan should include: (1) strategies to expand access to post-hospitalization settings and to reduce the wait times to no longer than 14 days, and (2) strategies to facilitate care coordination with local education agencies. A copy of the plan and any budgetary needs are to be submitted to EOHHS and the Legislature.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6 establishes a special commission to study the intensive behavioral health needs of youth such as acute aggressive, assaultive or unsafe behaviors that are not adequately addressed through inpatient psychiatric hospitalizations, community-based acute treatment services, or existing residential or community treatment models contracted by DCF. It is mandated to: (1) create aggregate demographic and geographic profiles of youth with intensive behavioral health needs, (2) examine the current availability of, and barriers to providing behavioral health services to these youth, and (3) reviewing existing efforts and research on best practices for treating youth with intensive behavioral health needs.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Commission’s findings and recommendations are to be posted on the Executive Office of Health and Human Services website and reported to the House and Senate Clerks by January 1, 2026.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Commission’s 25 members/designees include: </w:t>
      </w:r>
    </w:p>
    <w:p w:rsidR="00000000" w:rsidDel="00000000" w:rsidP="00000000" w:rsidRDefault="00000000" w:rsidRPr="00000000" w14:paraId="00000022">
      <w:pPr>
        <w:numPr>
          <w:ilvl w:val="0"/>
          <w:numId w:val="9"/>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Secretary of Health and Human Services (Chair) </w:t>
      </w:r>
    </w:p>
    <w:p w:rsidR="00000000" w:rsidDel="00000000" w:rsidP="00000000" w:rsidRDefault="00000000" w:rsidRPr="00000000" w14:paraId="00000023">
      <w:pPr>
        <w:numPr>
          <w:ilvl w:val="0"/>
          <w:numId w:val="10"/>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Commissioners of Public Health, DCF, the Department of Youth Services, DDS, and the Department of Early Education and Care  </w:t>
      </w:r>
    </w:p>
    <w:p w:rsidR="00000000" w:rsidDel="00000000" w:rsidP="00000000" w:rsidRDefault="00000000" w:rsidRPr="00000000" w14:paraId="00000024">
      <w:pPr>
        <w:numPr>
          <w:ilvl w:val="0"/>
          <w:numId w:val="11"/>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Chief Justice of the Juvenile Court   </w:t>
      </w:r>
    </w:p>
    <w:p w:rsidR="00000000" w:rsidDel="00000000" w:rsidP="00000000" w:rsidRDefault="00000000" w:rsidRPr="00000000" w14:paraId="00000025">
      <w:pPr>
        <w:numPr>
          <w:ilvl w:val="0"/>
          <w:numId w:val="6"/>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The Chairs of relevant Joint Committee’s  </w:t>
      </w:r>
    </w:p>
    <w:p w:rsidR="00000000" w:rsidDel="00000000" w:rsidP="00000000" w:rsidRDefault="00000000" w:rsidRPr="00000000" w14:paraId="00000026">
      <w:pPr>
        <w:numPr>
          <w:ilvl w:val="0"/>
          <w:numId w:val="2"/>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 representative from the Office of the Child Advocate  </w:t>
      </w:r>
    </w:p>
    <w:p w:rsidR="00000000" w:rsidDel="00000000" w:rsidP="00000000" w:rsidRDefault="00000000" w:rsidRPr="00000000" w14:paraId="00000027">
      <w:pPr>
        <w:numPr>
          <w:ilvl w:val="0"/>
          <w:numId w:val="5"/>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 representative from the Association for Behavioral Healthcare, Inc.  </w:t>
      </w:r>
    </w:p>
    <w:p w:rsidR="00000000" w:rsidDel="00000000" w:rsidP="00000000" w:rsidRDefault="00000000" w:rsidRPr="00000000" w14:paraId="00000028">
      <w:pPr>
        <w:numPr>
          <w:ilvl w:val="0"/>
          <w:numId w:val="13"/>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 representative from the Massachusetts Health &amp; Hospital Association  </w:t>
      </w:r>
    </w:p>
    <w:p w:rsidR="00000000" w:rsidDel="00000000" w:rsidP="00000000" w:rsidRDefault="00000000" w:rsidRPr="00000000" w14:paraId="00000029">
      <w:pPr>
        <w:numPr>
          <w:ilvl w:val="0"/>
          <w:numId w:val="12"/>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 representative from the Massachusetts Association of Behavioral Health Systems  </w:t>
      </w:r>
    </w:p>
    <w:p w:rsidR="00000000" w:rsidDel="00000000" w:rsidP="00000000" w:rsidRDefault="00000000" w:rsidRPr="00000000" w14:paraId="0000002A">
      <w:pPr>
        <w:numPr>
          <w:ilvl w:val="0"/>
          <w:numId w:val="3"/>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 representative from the Children’s Mental Health Campaign  </w:t>
      </w:r>
    </w:p>
    <w:p w:rsidR="00000000" w:rsidDel="00000000" w:rsidP="00000000" w:rsidRDefault="00000000" w:rsidRPr="00000000" w14:paraId="0000002B">
      <w:pPr>
        <w:numPr>
          <w:ilvl w:val="0"/>
          <w:numId w:val="4"/>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 representative from the Children’s League of Massachusetts  </w:t>
      </w:r>
    </w:p>
    <w:p w:rsidR="00000000" w:rsidDel="00000000" w:rsidP="00000000" w:rsidRDefault="00000000" w:rsidRPr="00000000" w14:paraId="0000002C">
      <w:pPr>
        <w:numPr>
          <w:ilvl w:val="0"/>
          <w:numId w:val="7"/>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 representative from the Parent/Professional Advocacy League  </w:t>
      </w:r>
    </w:p>
    <w:p w:rsidR="00000000" w:rsidDel="00000000" w:rsidP="00000000" w:rsidRDefault="00000000" w:rsidRPr="00000000" w14:paraId="0000002D">
      <w:pPr>
        <w:numPr>
          <w:ilvl w:val="0"/>
          <w:numId w:val="1"/>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 representative from the Massachusetts Behavioral Health Partnership </w:t>
      </w:r>
    </w:p>
    <w:p w:rsidR="00000000" w:rsidDel="00000000" w:rsidP="00000000" w:rsidRDefault="00000000" w:rsidRPr="00000000" w14:paraId="0000002E">
      <w:pPr>
        <w:numPr>
          <w:ilvl w:val="0"/>
          <w:numId w:val="8"/>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6 members to be appointed by the Chair - 2 of whom shall be a family member of a child or adolescent with behavioral health needs or who has been involved in the Juvenile Court, 3 of whom shall be a behavioral health provider specializing in serving children and adolescents with intensive behavioral health needs, and 1 of whom shall be a clinician or researcher with expertise related to children and adolescents with intensive behavioral health needs. </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making appointments, the Secretary of Health and Human Services should consider that the members represent a broad distribution of diverse perspectives and geographic regions.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 </w:t>
      </w:r>
    </w:p>
    <w:p w:rsidR="00000000" w:rsidDel="00000000" w:rsidP="00000000" w:rsidRDefault="00000000" w:rsidRPr="00000000" w14:paraId="00000032">
      <w:pPr>
        <w:rPr>
          <w:rFonts w:ascii="Times New Roman" w:cs="Times New Roman" w:eastAsia="Times New Roman" w:hAnsi="Times New Roman"/>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