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H.287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relative to studying best practices for ensuring the safety of blind persons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 </w:t>
      </w:r>
      <w:r w:rsidDel="00000000" w:rsidR="00000000" w:rsidRPr="00000000">
        <w:rPr>
          <w:rFonts w:ascii="Times New Roman" w:cs="Times New Roman" w:eastAsia="Times New Roman" w:hAnsi="Times New Roman"/>
          <w:rtl w:val="0"/>
        </w:rPr>
        <w:t xml:space="preserve">Rep. Alyson M. Sullivan-Almeida (</w:t>
      </w:r>
      <w:r w:rsidDel="00000000" w:rsidR="00000000" w:rsidRPr="00000000">
        <w:rPr>
          <w:rFonts w:ascii="Times New Roman" w:cs="Times New Roman" w:eastAsia="Times New Roman" w:hAnsi="Times New Roman"/>
          <w:i w:val="1"/>
          <w:rtl w:val="0"/>
        </w:rPr>
        <w:t xml:space="preserve">Abington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November 8, 2025</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(H.220): Ordered to a House Study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(H.271): Reported favorably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2019-2020 (H.166): New draft H.4348; Referred to HWM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LAW: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521 CMR22.00 - WALKWAYS:</w:t>
      </w:r>
      <w:r w:rsidDel="00000000" w:rsidR="00000000" w:rsidRPr="00000000">
        <w:rPr>
          <w:rFonts w:ascii="Times New Roman" w:cs="Times New Roman" w:eastAsia="Times New Roman" w:hAnsi="Times New Roman"/>
          <w:rtl w:val="0"/>
        </w:rPr>
        <w:t xml:space="preserve"> Covers walks, sidewalks, overpasses, bridges, tunnels, underpasses, plazas, courts and other pedestrian pathways in regard to width, grade, level changes, curb cuts, ramps, elevators, surface, gratings and intersections.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SUMMARY: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would create a special commission to determine best practices to ensure the safety of blind persons in public walkways and intersections. The commission, in conjunction with the Massachusetts Commission for the Blind (MCB), is tasked with reviewing: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Existing roadway and traffic policies that address the safety of persons who are blind and visually impaired;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Current use of accessible pedestrian signals; and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New technology available to improve the safety of persons who are blind and visually impaired.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would consist of 9 members. Its report with any recommendations for legislation is to be filed with the Secretary of Administration and Finance, the Chairs of appropriate committees, and the Clerks of both Houses of the Legislature within 1 year of the passage of the bill.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