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H.296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w:t>
      </w:r>
      <w:r w:rsidDel="00000000" w:rsidR="00000000" w:rsidRPr="00000000">
        <w:rPr>
          <w:rFonts w:ascii="Times New Roman" w:cs="Times New Roman" w:eastAsia="Times New Roman" w:hAnsi="Times New Roman"/>
          <w:rtl w:val="0"/>
        </w:rPr>
        <w:t xml:space="preserve"> An Act protecting vulnerable adults from financial exploitation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w:t>
      </w:r>
      <w:r w:rsidDel="00000000" w:rsidR="00000000" w:rsidRPr="00000000">
        <w:rPr>
          <w:rFonts w:ascii="Times New Roman" w:cs="Times New Roman" w:eastAsia="Times New Roman" w:hAnsi="Times New Roman"/>
          <w:rtl w:val="0"/>
        </w:rPr>
        <w:t xml:space="preserve"> Rep. Paul McMurtry </w:t>
      </w:r>
      <w:r w:rsidDel="00000000" w:rsidR="00000000" w:rsidRPr="00000000">
        <w:rPr>
          <w:rFonts w:ascii="Times New Roman" w:cs="Times New Roman" w:eastAsia="Times New Roman" w:hAnsi="Times New Roman"/>
          <w:i w:val="1"/>
          <w:rtl w:val="0"/>
        </w:rPr>
        <w:t xml:space="preserve">(Dedham)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(H.203): New draft H.4395: Reported favorably; Referred to House Ways and Means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(H.252): New draft H.4462; Reported favorably; Referred to House Ways and Means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 (H.4281): Reported favorably, Referred to House Ways and Means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19C, §1 - Disabled Persons Protection Commission; Definitions: </w:t>
      </w:r>
      <w:r w:rsidDel="00000000" w:rsidR="00000000" w:rsidRPr="00000000">
        <w:rPr>
          <w:rFonts w:ascii="Times New Roman" w:cs="Times New Roman" w:eastAsia="Times New Roman" w:hAnsi="Times New Roman"/>
          <w:rtl w:val="0"/>
        </w:rPr>
        <w:t xml:space="preserve">This section defines terms used in c. 19C, including “disabled person” as a person with an intellectual, mental, or physical disability which results in dependency on other to meet their daily living needs.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§2 - Disabled Persons Protection Commission; Establishment of the disabled persons protection commission; membership; terms; compensation; annual report: </w:t>
      </w:r>
      <w:r w:rsidDel="00000000" w:rsidR="00000000" w:rsidRPr="00000000">
        <w:rPr>
          <w:rFonts w:ascii="Times New Roman" w:cs="Times New Roman" w:eastAsia="Times New Roman" w:hAnsi="Times New Roman"/>
          <w:rtl w:val="0"/>
        </w:rPr>
        <w:t xml:space="preserve">This section establishes the Disabled Persons Protection Commission to investigate and remediate instances of abuse of persons who are disabled in the Commonwealth. It further outlines who shall be appointed members, term lengths, compensation, roles, and reporting guidelines.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110A, §401 - Uniform Securities Act; Definitions</w:t>
      </w:r>
      <w:r w:rsidDel="00000000" w:rsidR="00000000" w:rsidRPr="00000000">
        <w:rPr>
          <w:rFonts w:ascii="Times New Roman" w:cs="Times New Roman" w:eastAsia="Times New Roman" w:hAnsi="Times New Roman"/>
          <w:rtl w:val="0"/>
        </w:rPr>
        <w:t xml:space="preserve">: This section defines terms used in c. 110A, including “agent”, “broker-dealer”, “investment adviser”, and “investment adviser representative”.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would create a law to address the financial exploitation of persons with disabilities and adults 60 years of age or older (“eligible adult”). The bill defines “financial exploitation” as: 1) the wrongful or unauthorized taking, withholding, or use of money, assets, or property of an eligible adult; and 2) any act or omission taken by a person, including through a power of attorney, guardianship or conservatorship of an eligible adult to obtain control through deception, intimidation, or undue influence over an eligible adult’s money, assets, or property to deprive them of the ownership or use of his or her money, assets or property; or converts money, assets or property of the eligible adult to deprive them of the ownership or use of their money, assets or property.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of the bill allows an agent, investment advisor, investment-adviser representative, broker-dealer, or person who serves in a supervisory, compliance or legal capacity for a broker-dealer or investment advisor (“qualified individual”)</w:t>
      </w:r>
      <w:r w:rsidDel="00000000" w:rsidR="00000000" w:rsidRPr="00000000">
        <w:rPr>
          <w:rFonts w:ascii="Times New Roman" w:cs="Times New Roman" w:eastAsia="Times New Roman" w:hAnsi="Times New Roman"/>
          <w:color w:val="d13438"/>
          <w:u w:val="single"/>
          <w:rtl w:val="0"/>
        </w:rPr>
        <w:t xml:space="preserve">,</w:t>
      </w:r>
      <w:r w:rsidDel="00000000" w:rsidR="00000000" w:rsidRPr="00000000">
        <w:rPr>
          <w:rFonts w:ascii="Times New Roman" w:cs="Times New Roman" w:eastAsia="Times New Roman" w:hAnsi="Times New Roman"/>
          <w:rtl w:val="0"/>
        </w:rPr>
        <w:t xml:space="preserve"> who reasonably believes that financial exploitation of an eligible adult may have occurred or was or is being attempted, to notify the Secretary of the Commonwealth, the Disabled Persons Protection Commission (DPPC) if the adult is under the age of 60, or the Executive Office of Elder Affairs (EOEA) if the adult is 60 years or older.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provides immunity from administrative or civil liability from a disclosure described in SECTION 2 or for any failure to notify the customer of the disclosure.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allows the qualified individual to also notify a third party previously designated by the eligible adult or reasonably associated with the adult permitted under state or federal law, regulation or the rules of a self-regulatory organization.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5 provides immunity from any administrative or civil liability that might result from disclosure to a third party to a qualified individual who acts in good faith and with reasonable care.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6 allows a broker-dealer or investment adviser to delay a disbursement or transaction from an account of the eligible adult or from an account on which the eligible adult is a beneficiary if (1) they reasonably believe that the requested disbursement may result in financial exploitation, and (2) within 2 business days after the requested disbursement, they provide written notification of the delay and the reason for the delay to all involved parties unless a party is believed to have engaged in or attempted financial exploitation of the eligible adult. The broker-dealer or investment advisor must also notify the appropriate agencies and report on the investigation’s results and final disposition upon request to the agencies and qualified individuals.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delay of a disbursement or transaction will expire if it is determined that the disbursement will not result in financial exploitation, or 15 business days after the date on which the disbursement was delayed, whichever is sooner, unless the agencies request an extension. A delay of up to 55 days would be allowed unless it is further extended by either of the agencies or a court order. A court can extend the delay of the disbursement of funds or order other protective relief if petitioned by the Secretary of the Commonwealth, Disabled Persons Protection Commission, Executive Office of Elder Affairs, the broker-dealer or investment adviser that initiated the delay, or another interested party.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7 provides a broker-dealer or investment advisor immunity from administrative or civil liability from the delay in disbursement if they acted in good faith and with reasonable care.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8 requires the broker-dealer or investment adviser to provide access to records to the relevant agency and law enforcement.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