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9C35" w14:textId="4C404AAE" w:rsidR="00EB2265" w:rsidRDefault="00943041" w:rsidP="00943041">
      <w:pPr>
        <w:jc w:val="center"/>
      </w:pPr>
      <w:r w:rsidRPr="00EF5F90">
        <w:rPr>
          <w:rFonts w:ascii="Times New Roman" w:eastAsia="Times New Roman" w:hAnsi="Times New Roman" w:cs="Times New Roman"/>
          <w:noProof/>
          <w:color w:val="000000"/>
          <w:kern w:val="0"/>
          <w:sz w:val="27"/>
          <w:szCs w:val="27"/>
          <w14:ligatures w14:val="none"/>
        </w:rPr>
        <w:drawing>
          <wp:inline distT="0" distB="0" distL="0" distR="0" wp14:anchorId="554409B1" wp14:editId="2E349C3A">
            <wp:extent cx="2343150" cy="1562100"/>
            <wp:effectExtent l="0" t="0" r="0" b="0"/>
            <wp:docPr id="1076344909" name="Picture 1076344909" descr="AIorK4yu16D932iZZB1mdyIsMXsgHm8lI9M7E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orK4yu16D932iZZB1mdyIsMXsgHm8lI9M7EDb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0592" cy="1573728"/>
                    </a:xfrm>
                    <a:prstGeom prst="rect">
                      <a:avLst/>
                    </a:prstGeom>
                    <a:noFill/>
                    <a:ln>
                      <a:noFill/>
                    </a:ln>
                  </pic:spPr>
                </pic:pic>
              </a:graphicData>
            </a:graphic>
          </wp:inline>
        </w:drawing>
      </w:r>
      <w:r>
        <w:rPr>
          <w:noProof/>
        </w:rPr>
        <w:drawing>
          <wp:inline distT="0" distB="0" distL="0" distR="0" wp14:anchorId="597DD2DF" wp14:editId="6E3F2DBA">
            <wp:extent cx="2370242" cy="1555472"/>
            <wp:effectExtent l="0" t="0" r="0" b="6985"/>
            <wp:docPr id="3" name="Picture 2" descr="Testimony Text, Inspiration, Motivation and Business Concept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imony Text, Inspiration, Motivation and Business Concept Stoc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6362" cy="1572613"/>
                    </a:xfrm>
                    <a:prstGeom prst="rect">
                      <a:avLst/>
                    </a:prstGeom>
                    <a:noFill/>
                    <a:ln>
                      <a:noFill/>
                    </a:ln>
                  </pic:spPr>
                </pic:pic>
              </a:graphicData>
            </a:graphic>
          </wp:inline>
        </w:drawing>
      </w:r>
    </w:p>
    <w:p w14:paraId="143A1865" w14:textId="77777777" w:rsidR="00943041" w:rsidRDefault="00943041" w:rsidP="00943041">
      <w:pPr>
        <w:spacing w:line="259" w:lineRule="auto"/>
        <w:jc w:val="center"/>
        <w:rPr>
          <w:rFonts w:ascii="Times New Roman" w:hAnsi="Times New Roman" w:cs="Times New Roman"/>
          <w:b/>
          <w:bCs/>
          <w:color w:val="70AD47" w:themeColor="accent6"/>
          <w:sz w:val="52"/>
          <w:szCs w:val="52"/>
        </w:rPr>
      </w:pPr>
      <w:r w:rsidRPr="00943041">
        <w:rPr>
          <w:rFonts w:ascii="Times New Roman" w:hAnsi="Times New Roman" w:cs="Times New Roman"/>
          <w:b/>
          <w:bCs/>
          <w:color w:val="70AD47" w:themeColor="accent6"/>
          <w:sz w:val="52"/>
          <w:szCs w:val="52"/>
        </w:rPr>
        <w:t>IN SUPPORT OF</w:t>
      </w:r>
    </w:p>
    <w:p w14:paraId="06B9497C" w14:textId="5210620A" w:rsidR="00943041" w:rsidRDefault="00943041" w:rsidP="00943041">
      <w:pPr>
        <w:spacing w:line="259" w:lineRule="auto"/>
        <w:jc w:val="center"/>
        <w:rPr>
          <w:rFonts w:ascii="Times New Roman" w:hAnsi="Times New Roman" w:cs="Times New Roman"/>
          <w:b/>
          <w:bCs/>
          <w:color w:val="70AD47" w:themeColor="accent6"/>
          <w:sz w:val="52"/>
          <w:szCs w:val="52"/>
        </w:rPr>
      </w:pPr>
      <w:r>
        <w:rPr>
          <w:rFonts w:ascii="Times New Roman" w:hAnsi="Times New Roman" w:cs="Times New Roman"/>
          <w:b/>
          <w:bCs/>
          <w:color w:val="70AD47" w:themeColor="accent6"/>
          <w:sz w:val="52"/>
          <w:szCs w:val="52"/>
        </w:rPr>
        <w:t>THE FOLLOWING BILLS:</w:t>
      </w:r>
    </w:p>
    <w:p w14:paraId="0B7EED8B" w14:textId="569E17D5" w:rsidR="00943041" w:rsidRPr="00943041" w:rsidRDefault="00177FF8" w:rsidP="003630F5">
      <w:pPr>
        <w:spacing w:line="259"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April 14, 2025 - </w:t>
      </w:r>
      <w:r w:rsidR="00943041">
        <w:rPr>
          <w:rFonts w:ascii="Times New Roman" w:hAnsi="Times New Roman" w:cs="Times New Roman"/>
          <w:b/>
          <w:bCs/>
          <w:color w:val="000000" w:themeColor="text1"/>
          <w:sz w:val="28"/>
          <w:szCs w:val="28"/>
        </w:rPr>
        <w:t xml:space="preserve">Dignity Alliance Massachusetts, </w:t>
      </w:r>
      <w:r w:rsidR="003630F5">
        <w:rPr>
          <w:rFonts w:ascii="Times New Roman" w:hAnsi="Times New Roman" w:cs="Times New Roman"/>
          <w:b/>
          <w:bCs/>
          <w:color w:val="000000" w:themeColor="text1"/>
          <w:sz w:val="28"/>
          <w:szCs w:val="28"/>
        </w:rPr>
        <w:t xml:space="preserve">advocating for older adults, people with disabilities, and their caregivers </w:t>
      </w:r>
      <w:r w:rsidR="00943041">
        <w:rPr>
          <w:rFonts w:ascii="Times New Roman" w:hAnsi="Times New Roman" w:cs="Times New Roman"/>
          <w:b/>
          <w:bCs/>
          <w:color w:val="000000" w:themeColor="text1"/>
          <w:sz w:val="28"/>
          <w:szCs w:val="28"/>
        </w:rPr>
        <w:t>welcomes the opportunity</w:t>
      </w:r>
      <w:r w:rsidR="003630F5">
        <w:rPr>
          <w:rFonts w:ascii="Times New Roman" w:hAnsi="Times New Roman" w:cs="Times New Roman"/>
          <w:b/>
          <w:bCs/>
          <w:color w:val="000000" w:themeColor="text1"/>
          <w:sz w:val="28"/>
          <w:szCs w:val="28"/>
        </w:rPr>
        <w:t xml:space="preserve"> to testify in support of the following measures and urges </w:t>
      </w:r>
      <w:r w:rsidR="00CF3DDF">
        <w:rPr>
          <w:rFonts w:ascii="Times New Roman" w:hAnsi="Times New Roman" w:cs="Times New Roman"/>
          <w:b/>
          <w:bCs/>
          <w:color w:val="000000" w:themeColor="text1"/>
          <w:sz w:val="28"/>
          <w:szCs w:val="28"/>
        </w:rPr>
        <w:t xml:space="preserve">the Committee on Aging and Independence to </w:t>
      </w:r>
      <w:r w:rsidR="003630F5">
        <w:rPr>
          <w:rFonts w:ascii="Times New Roman" w:hAnsi="Times New Roman" w:cs="Times New Roman"/>
          <w:b/>
          <w:bCs/>
          <w:color w:val="000000" w:themeColor="text1"/>
          <w:sz w:val="28"/>
          <w:szCs w:val="28"/>
        </w:rPr>
        <w:t>favorabl</w:t>
      </w:r>
      <w:r w:rsidR="00CF3DDF">
        <w:rPr>
          <w:rFonts w:ascii="Times New Roman" w:hAnsi="Times New Roman" w:cs="Times New Roman"/>
          <w:b/>
          <w:bCs/>
          <w:color w:val="000000" w:themeColor="text1"/>
          <w:sz w:val="28"/>
          <w:szCs w:val="28"/>
        </w:rPr>
        <w:t>y</w:t>
      </w:r>
      <w:r w:rsidR="003630F5">
        <w:rPr>
          <w:rFonts w:ascii="Times New Roman" w:hAnsi="Times New Roman" w:cs="Times New Roman"/>
          <w:b/>
          <w:bCs/>
          <w:color w:val="000000" w:themeColor="text1"/>
          <w:sz w:val="28"/>
          <w:szCs w:val="28"/>
        </w:rPr>
        <w:t xml:space="preserve"> report on each bill, with only technical amendments i</w:t>
      </w:r>
      <w:r w:rsidR="0030288E">
        <w:rPr>
          <w:rFonts w:ascii="Times New Roman" w:hAnsi="Times New Roman" w:cs="Times New Roman"/>
          <w:b/>
          <w:bCs/>
          <w:color w:val="000000" w:themeColor="text1"/>
          <w:sz w:val="28"/>
          <w:szCs w:val="28"/>
        </w:rPr>
        <w:t>n</w:t>
      </w:r>
      <w:r w:rsidR="003630F5">
        <w:rPr>
          <w:rFonts w:ascii="Times New Roman" w:hAnsi="Times New Roman" w:cs="Times New Roman"/>
          <w:b/>
          <w:bCs/>
          <w:color w:val="000000" w:themeColor="text1"/>
          <w:sz w:val="28"/>
          <w:szCs w:val="28"/>
        </w:rPr>
        <w:t xml:space="preserve"> several instances.</w:t>
      </w:r>
    </w:p>
    <w:p w14:paraId="367A325A" w14:textId="51E9451F" w:rsidR="00943041" w:rsidRPr="00943041" w:rsidRDefault="00943041" w:rsidP="00943041">
      <w:pPr>
        <w:spacing w:line="259" w:lineRule="auto"/>
        <w:rPr>
          <w:rFonts w:ascii="Times New Roman" w:hAnsi="Times New Roman" w:cs="Times New Roman"/>
          <w:b/>
          <w:bCs/>
          <w:color w:val="000000" w:themeColor="text1"/>
          <w:sz w:val="28"/>
          <w:szCs w:val="28"/>
        </w:rPr>
      </w:pPr>
      <w:r>
        <w:rPr>
          <w:rFonts w:ascii="Times New Roman" w:hAnsi="Times New Roman" w:cs="Times New Roman"/>
          <w:b/>
          <w:bCs/>
          <w:color w:val="70AD47" w:themeColor="accent6"/>
          <w:sz w:val="28"/>
          <w:szCs w:val="28"/>
        </w:rPr>
        <w:t>S470/H789 -</w:t>
      </w:r>
      <w:r>
        <w:rPr>
          <w:rFonts w:ascii="Times New Roman" w:hAnsi="Times New Roman" w:cs="Times New Roman"/>
          <w:b/>
          <w:bCs/>
          <w:color w:val="000000" w:themeColor="text1"/>
          <w:sz w:val="28"/>
          <w:szCs w:val="28"/>
        </w:rPr>
        <w:t>An Act to improve Massachusetts Home Care.</w:t>
      </w:r>
      <w:r w:rsidR="003630F5">
        <w:rPr>
          <w:rFonts w:ascii="Times New Roman" w:hAnsi="Times New Roman" w:cs="Times New Roman"/>
          <w:b/>
          <w:bCs/>
          <w:color w:val="000000" w:themeColor="text1"/>
          <w:sz w:val="28"/>
          <w:szCs w:val="28"/>
        </w:rPr>
        <w:t xml:space="preserve">  </w:t>
      </w:r>
    </w:p>
    <w:p w14:paraId="146314E9" w14:textId="77777777" w:rsidR="00F06905" w:rsidRDefault="009911D9" w:rsidP="0031016D">
      <w:pPr>
        <w:jc w:val="both"/>
        <w:rPr>
          <w:rFonts w:ascii="Times New Roman" w:hAnsi="Times New Roman" w:cs="Times New Roman"/>
        </w:rPr>
      </w:pPr>
      <w:r w:rsidRPr="009911D9">
        <w:rPr>
          <w:rFonts w:ascii="Times New Roman" w:hAnsi="Times New Roman" w:cs="Times New Roman"/>
        </w:rPr>
        <w:t xml:space="preserve">The bills establish licensing and standards for home care agencies, oversight, and accountability of owners, operators and staff. </w:t>
      </w:r>
      <w:r w:rsidR="00D1167E">
        <w:rPr>
          <w:rFonts w:ascii="Times New Roman" w:hAnsi="Times New Roman" w:cs="Times New Roman"/>
        </w:rPr>
        <w:t>The bill n</w:t>
      </w:r>
      <w:r w:rsidRPr="009911D9">
        <w:rPr>
          <w:rFonts w:ascii="Times New Roman" w:hAnsi="Times New Roman" w:cs="Times New Roman"/>
        </w:rPr>
        <w:t>eeds to be amended in lines113, 233, 248 to replace “elder affairs,” with “aging and independence.</w:t>
      </w:r>
      <w:r>
        <w:rPr>
          <w:rFonts w:ascii="Times New Roman" w:hAnsi="Times New Roman" w:cs="Times New Roman"/>
        </w:rPr>
        <w:t xml:space="preserve">  The proposed reform</w:t>
      </w:r>
      <w:r w:rsidR="00D1167E">
        <w:rPr>
          <w:rFonts w:ascii="Times New Roman" w:hAnsi="Times New Roman" w:cs="Times New Roman"/>
        </w:rPr>
        <w:t>s</w:t>
      </w:r>
      <w:r>
        <w:rPr>
          <w:rFonts w:ascii="Times New Roman" w:hAnsi="Times New Roman" w:cs="Times New Roman"/>
        </w:rPr>
        <w:t xml:space="preserve"> are essential to protect consumers and caregivers in home care and to provide accountability, transparency and appropriate oversight. </w:t>
      </w:r>
    </w:p>
    <w:p w14:paraId="644ED64B" w14:textId="249F0099" w:rsidR="00385CD7" w:rsidRPr="00CF3DDF" w:rsidRDefault="00DE0D38" w:rsidP="0031016D">
      <w:pPr>
        <w:jc w:val="both"/>
        <w:rPr>
          <w:rFonts w:ascii="Times New Roman" w:hAnsi="Times New Roman" w:cs="Times New Roman"/>
        </w:rPr>
      </w:pPr>
      <w:r w:rsidRPr="00CF3DDF">
        <w:rPr>
          <w:rFonts w:ascii="Times New Roman" w:hAnsi="Times New Roman" w:cs="Times New Roman"/>
        </w:rPr>
        <w:t>Dignity Alliance urges prompt favorable action by this Committee and the Legislature!</w:t>
      </w:r>
      <w:r w:rsidR="009911D9" w:rsidRPr="00CF3DDF">
        <w:rPr>
          <w:rFonts w:ascii="Times New Roman" w:hAnsi="Times New Roman" w:cs="Times New Roman"/>
        </w:rPr>
        <w:t xml:space="preserve"> </w:t>
      </w:r>
    </w:p>
    <w:p w14:paraId="0DA9263E" w14:textId="63F7FDA6" w:rsidR="0031016D" w:rsidRDefault="009911D9" w:rsidP="0031016D">
      <w:pPr>
        <w:jc w:val="both"/>
        <w:rPr>
          <w:rFonts w:ascii="Times New Roman" w:hAnsi="Times New Roman" w:cs="Times New Roman"/>
        </w:rPr>
      </w:pPr>
      <w:r>
        <w:rPr>
          <w:rFonts w:ascii="Times New Roman" w:hAnsi="Times New Roman" w:cs="Times New Roman"/>
        </w:rPr>
        <w:t>Dignity Alliance also takes this opportunity to suggest that both the current and proposed state budget substantially underfund the home care account, and we have communicated this to both the Administration and the Joint Committee on Ways and Means.</w:t>
      </w:r>
      <w:r w:rsidR="00FD65B0">
        <w:rPr>
          <w:rFonts w:ascii="Times New Roman" w:hAnsi="Times New Roman" w:cs="Times New Roman"/>
        </w:rPr>
        <w:t xml:space="preserve"> We support the corrective action taken to the FY’25 </w:t>
      </w:r>
      <w:r w:rsidR="00362DE3">
        <w:rPr>
          <w:rFonts w:ascii="Times New Roman" w:hAnsi="Times New Roman" w:cs="Times New Roman"/>
        </w:rPr>
        <w:t>b</w:t>
      </w:r>
      <w:r w:rsidR="00F21DB8">
        <w:rPr>
          <w:rFonts w:ascii="Times New Roman" w:hAnsi="Times New Roman" w:cs="Times New Roman"/>
        </w:rPr>
        <w:t>udget</w:t>
      </w:r>
      <w:r w:rsidR="00AF2410">
        <w:rPr>
          <w:rFonts w:ascii="Times New Roman" w:hAnsi="Times New Roman" w:cs="Times New Roman"/>
        </w:rPr>
        <w:t xml:space="preserve"> </w:t>
      </w:r>
      <w:r w:rsidR="000C4ACC">
        <w:rPr>
          <w:rFonts w:ascii="Times New Roman" w:hAnsi="Times New Roman" w:cs="Times New Roman"/>
        </w:rPr>
        <w:t>in H.4003</w:t>
      </w:r>
      <w:r w:rsidR="00461B2C">
        <w:rPr>
          <w:rFonts w:ascii="Times New Roman" w:hAnsi="Times New Roman" w:cs="Times New Roman"/>
        </w:rPr>
        <w:t>.</w:t>
      </w:r>
      <w:r w:rsidR="000B2D59">
        <w:rPr>
          <w:rStyle w:val="FootnoteReference"/>
          <w:rFonts w:ascii="Times New Roman" w:hAnsi="Times New Roman" w:cs="Times New Roman"/>
        </w:rPr>
        <w:footnoteReference w:id="1"/>
      </w:r>
      <w:r w:rsidR="00461B2C">
        <w:rPr>
          <w:rFonts w:ascii="Times New Roman" w:hAnsi="Times New Roman" w:cs="Times New Roman"/>
        </w:rPr>
        <w:t xml:space="preserve">  H</w:t>
      </w:r>
      <w:r w:rsidR="00F21DB8">
        <w:rPr>
          <w:rFonts w:ascii="Times New Roman" w:hAnsi="Times New Roman" w:cs="Times New Roman"/>
        </w:rPr>
        <w:t>owever, this also needs to be addressed in the FY’26 budget</w:t>
      </w:r>
      <w:r w:rsidR="00775731">
        <w:rPr>
          <w:rFonts w:ascii="Times New Roman" w:hAnsi="Times New Roman" w:cs="Times New Roman"/>
        </w:rPr>
        <w:t>.  Lack of adequate funding for home care services and supports</w:t>
      </w:r>
      <w:r w:rsidR="00721EC8">
        <w:rPr>
          <w:rFonts w:ascii="Times New Roman" w:hAnsi="Times New Roman" w:cs="Times New Roman"/>
        </w:rPr>
        <w:t xml:space="preserve"> risks weakening the benefits that </w:t>
      </w:r>
      <w:r w:rsidR="001C227B">
        <w:rPr>
          <w:rFonts w:ascii="Times New Roman" w:hAnsi="Times New Roman" w:cs="Times New Roman"/>
        </w:rPr>
        <w:t>could be achieved through enactment of S470/H789, and would lead to unfair wait lists for services.</w:t>
      </w:r>
      <w:r w:rsidR="00461B2C">
        <w:rPr>
          <w:rFonts w:ascii="Times New Roman" w:hAnsi="Times New Roman" w:cs="Times New Roman"/>
        </w:rPr>
        <w:t xml:space="preserve"> </w:t>
      </w:r>
    </w:p>
    <w:p w14:paraId="2F67CFE5" w14:textId="5B442864" w:rsidR="009911D9" w:rsidRPr="009250EC" w:rsidRDefault="0031016D" w:rsidP="0031016D">
      <w:pPr>
        <w:jc w:val="both"/>
        <w:rPr>
          <w:rFonts w:ascii="Times New Roman" w:hAnsi="Times New Roman" w:cs="Times New Roman"/>
        </w:rPr>
      </w:pPr>
      <w:r>
        <w:rPr>
          <w:rFonts w:ascii="Times New Roman" w:hAnsi="Times New Roman" w:cs="Times New Roman"/>
        </w:rPr>
        <w:t>Dignity Alliance respectfully notes that</w:t>
      </w:r>
      <w:r w:rsidR="0050772D">
        <w:rPr>
          <w:rFonts w:ascii="Times New Roman" w:hAnsi="Times New Roman" w:cs="Times New Roman"/>
        </w:rPr>
        <w:t xml:space="preserve"> failure to adequately fund home care</w:t>
      </w:r>
      <w:r w:rsidR="004103B8">
        <w:rPr>
          <w:rFonts w:ascii="Times New Roman" w:hAnsi="Times New Roman" w:cs="Times New Roman"/>
        </w:rPr>
        <w:t xml:space="preserve"> along with failure to enact the positive steps incorporated in this legislation</w:t>
      </w:r>
      <w:r w:rsidR="00CB276D">
        <w:rPr>
          <w:rFonts w:ascii="Times New Roman" w:hAnsi="Times New Roman" w:cs="Times New Roman"/>
        </w:rPr>
        <w:t xml:space="preserve"> will result in many older adults </w:t>
      </w:r>
      <w:r w:rsidR="00387708">
        <w:rPr>
          <w:rFonts w:ascii="Times New Roman" w:hAnsi="Times New Roman" w:cs="Times New Roman"/>
        </w:rPr>
        <w:t xml:space="preserve">being forced to enter nursing homes, </w:t>
      </w:r>
      <w:r w:rsidR="00F035BE">
        <w:rPr>
          <w:rFonts w:ascii="Times New Roman" w:hAnsi="Times New Roman" w:cs="Times New Roman"/>
        </w:rPr>
        <w:t xml:space="preserve">and </w:t>
      </w:r>
      <w:r w:rsidR="00387708">
        <w:rPr>
          <w:rFonts w:ascii="Times New Roman" w:hAnsi="Times New Roman" w:cs="Times New Roman"/>
        </w:rPr>
        <w:t>the cost to the taxpayers</w:t>
      </w:r>
      <w:r w:rsidR="00461B2C">
        <w:rPr>
          <w:rFonts w:ascii="Times New Roman" w:hAnsi="Times New Roman" w:cs="Times New Roman"/>
        </w:rPr>
        <w:t xml:space="preserve"> </w:t>
      </w:r>
      <w:r w:rsidR="00F035BE">
        <w:rPr>
          <w:rFonts w:ascii="Times New Roman" w:hAnsi="Times New Roman" w:cs="Times New Roman"/>
        </w:rPr>
        <w:t>will prove significantly more than nursing home care.</w:t>
      </w:r>
      <w:r w:rsidR="00117536">
        <w:rPr>
          <w:rFonts w:ascii="Times New Roman" w:hAnsi="Times New Roman" w:cs="Times New Roman"/>
        </w:rPr>
        <w:t xml:space="preserve">  </w:t>
      </w:r>
      <w:r w:rsidR="005A15E0">
        <w:rPr>
          <w:rFonts w:ascii="Times New Roman" w:hAnsi="Times New Roman" w:cs="Times New Roman"/>
        </w:rPr>
        <w:t xml:space="preserve">Such failure will also challenge the ability of the Commonwealth to reduce the nursing </w:t>
      </w:r>
      <w:r w:rsidR="005A15E0">
        <w:rPr>
          <w:rFonts w:ascii="Times New Roman" w:hAnsi="Times New Roman" w:cs="Times New Roman"/>
        </w:rPr>
        <w:lastRenderedPageBreak/>
        <w:t>home census</w:t>
      </w:r>
      <w:r w:rsidR="00212F3D">
        <w:rPr>
          <w:rFonts w:ascii="Times New Roman" w:hAnsi="Times New Roman" w:cs="Times New Roman"/>
        </w:rPr>
        <w:t xml:space="preserve"> </w:t>
      </w:r>
      <w:r w:rsidR="003225D9">
        <w:rPr>
          <w:rFonts w:ascii="Times New Roman" w:hAnsi="Times New Roman" w:cs="Times New Roman"/>
        </w:rPr>
        <w:t xml:space="preserve">by help older adults to return to their communities </w:t>
      </w:r>
      <w:r w:rsidR="00212F3D">
        <w:rPr>
          <w:rFonts w:ascii="Times New Roman" w:hAnsi="Times New Roman" w:cs="Times New Roman"/>
        </w:rPr>
        <w:t>as required by the settlement of Marsters v. Healey.</w:t>
      </w:r>
      <w:r w:rsidR="009250EC">
        <w:rPr>
          <w:rFonts w:ascii="Times New Roman" w:hAnsi="Times New Roman" w:cs="Times New Roman"/>
        </w:rPr>
        <w:t xml:space="preserve"> </w:t>
      </w:r>
      <w:r w:rsidR="009250EC" w:rsidRPr="009250EC">
        <w:rPr>
          <w:rFonts w:ascii="Times New Roman" w:hAnsi="Times New Roman" w:cs="Times New Roman"/>
        </w:rPr>
        <w:t>(Case 1:22-cv-11715-NMG Document 129 Filed 09/20/23)</w:t>
      </w:r>
    </w:p>
    <w:p w14:paraId="7A76F337" w14:textId="17B47EBD" w:rsidR="00943041" w:rsidRPr="00943041" w:rsidRDefault="00943041" w:rsidP="00943041">
      <w:pPr>
        <w:spacing w:line="259" w:lineRule="auto"/>
        <w:rPr>
          <w:rFonts w:ascii="Times New Roman" w:hAnsi="Times New Roman" w:cs="Times New Roman"/>
          <w:b/>
          <w:bCs/>
          <w:color w:val="000000" w:themeColor="text1"/>
          <w:sz w:val="28"/>
          <w:szCs w:val="28"/>
        </w:rPr>
      </w:pPr>
      <w:r>
        <w:rPr>
          <w:rFonts w:ascii="Times New Roman" w:hAnsi="Times New Roman" w:cs="Times New Roman"/>
          <w:b/>
          <w:bCs/>
          <w:color w:val="70AD47" w:themeColor="accent6"/>
          <w:sz w:val="28"/>
          <w:szCs w:val="28"/>
        </w:rPr>
        <w:t>S473/H778 -</w:t>
      </w:r>
      <w:r>
        <w:rPr>
          <w:rFonts w:ascii="Times New Roman" w:hAnsi="Times New Roman" w:cs="Times New Roman"/>
          <w:b/>
          <w:bCs/>
          <w:color w:val="000000" w:themeColor="text1"/>
          <w:sz w:val="28"/>
          <w:szCs w:val="28"/>
        </w:rPr>
        <w:t>An Act relative to the commission on LGBTQ aging.</w:t>
      </w:r>
    </w:p>
    <w:p w14:paraId="1FDCFD36" w14:textId="55E102DB" w:rsidR="00E07A3E" w:rsidRDefault="009911D9" w:rsidP="00CF3DDF">
      <w:pPr>
        <w:spacing w:after="96" w:line="240" w:lineRule="auto"/>
        <w:jc w:val="both"/>
        <w:outlineLvl w:val="0"/>
        <w:rPr>
          <w:rFonts w:ascii="Times New Roman" w:eastAsia="Times New Roman" w:hAnsi="Times New Roman" w:cs="Times New Roman"/>
          <w:color w:val="141414"/>
          <w:kern w:val="0"/>
          <w14:ligatures w14:val="none"/>
        </w:rPr>
      </w:pPr>
      <w:r w:rsidRPr="009911D9">
        <w:rPr>
          <w:rFonts w:ascii="Times New Roman" w:hAnsi="Times New Roman" w:cs="Times New Roman"/>
        </w:rPr>
        <w:t xml:space="preserve">The bills create a permanent commission on older gay, bisexual, transgender, queer and questioning adults and their caregivers. </w:t>
      </w:r>
      <w:r w:rsidR="00376981">
        <w:rPr>
          <w:rFonts w:ascii="Times New Roman" w:hAnsi="Times New Roman" w:cs="Times New Roman"/>
        </w:rPr>
        <w:t>The bills n</w:t>
      </w:r>
      <w:r w:rsidRPr="009911D9">
        <w:rPr>
          <w:rFonts w:ascii="Times New Roman" w:hAnsi="Times New Roman" w:cs="Times New Roman"/>
        </w:rPr>
        <w:t>eed to be amended in lines 6 and 8 to replace “elder affairs” with “aging and independence.”</w:t>
      </w:r>
      <w:r>
        <w:rPr>
          <w:rFonts w:ascii="Times New Roman" w:hAnsi="Times New Roman" w:cs="Times New Roman"/>
        </w:rPr>
        <w:t xml:space="preserve">  This bill is important in view of the potential for discrimination against older adults who, because of </w:t>
      </w:r>
      <w:r w:rsidR="00F132A6">
        <w:rPr>
          <w:rFonts w:ascii="Times New Roman" w:hAnsi="Times New Roman" w:cs="Times New Roman"/>
        </w:rPr>
        <w:t>their treatment when younger, often do not have the support network that exist</w:t>
      </w:r>
      <w:r w:rsidR="00524D81">
        <w:rPr>
          <w:rFonts w:ascii="Times New Roman" w:hAnsi="Times New Roman" w:cs="Times New Roman"/>
        </w:rPr>
        <w:t>s for younger adults today</w:t>
      </w:r>
      <w:r w:rsidR="00F552CA">
        <w:rPr>
          <w:rFonts w:ascii="Times New Roman" w:hAnsi="Times New Roman" w:cs="Times New Roman"/>
        </w:rPr>
        <w:t xml:space="preserve">.  </w:t>
      </w:r>
      <w:r w:rsidR="00EB2522">
        <w:rPr>
          <w:rFonts w:ascii="Times New Roman" w:hAnsi="Times New Roman" w:cs="Times New Roman"/>
        </w:rPr>
        <w:t xml:space="preserve">It is vital that Massachusetts takes action to protect this segment of our </w:t>
      </w:r>
      <w:r w:rsidR="00DC0026">
        <w:rPr>
          <w:rFonts w:ascii="Times New Roman" w:hAnsi="Times New Roman" w:cs="Times New Roman"/>
        </w:rPr>
        <w:t>older adult population in view</w:t>
      </w:r>
      <w:r w:rsidR="00F132A6">
        <w:rPr>
          <w:rFonts w:ascii="Times New Roman" w:hAnsi="Times New Roman" w:cs="Times New Roman"/>
        </w:rPr>
        <w:t xml:space="preserve"> some external threats</w:t>
      </w:r>
      <w:r w:rsidR="00DC0026">
        <w:rPr>
          <w:rFonts w:ascii="Times New Roman" w:hAnsi="Times New Roman" w:cs="Times New Roman"/>
        </w:rPr>
        <w:t xml:space="preserve"> </w:t>
      </w:r>
      <w:r w:rsidR="00D65B04">
        <w:rPr>
          <w:rFonts w:ascii="Times New Roman" w:hAnsi="Times New Roman" w:cs="Times New Roman"/>
        </w:rPr>
        <w:t>such as the federal government’s elimination and reorganization of the Administration for Community Living</w:t>
      </w:r>
      <w:r w:rsidR="003A74B6">
        <w:rPr>
          <w:rFonts w:ascii="Times New Roman" w:hAnsi="Times New Roman" w:cs="Times New Roman"/>
        </w:rPr>
        <w:t>, for example</w:t>
      </w:r>
      <w:r w:rsidR="00F132A6">
        <w:rPr>
          <w:rFonts w:ascii="Times New Roman" w:hAnsi="Times New Roman" w:cs="Times New Roman"/>
        </w:rPr>
        <w:t>.</w:t>
      </w:r>
      <w:r w:rsidR="00E07A3E">
        <w:rPr>
          <w:rFonts w:ascii="Times New Roman" w:hAnsi="Times New Roman" w:cs="Times New Roman"/>
        </w:rPr>
        <w:t xml:space="preserve"> With regard to this legislation, it should be noted that, according an article by Kay Lazar in the Boston Globe (3/23/2025)</w:t>
      </w:r>
      <w:r w:rsidR="0034314F">
        <w:rPr>
          <w:rStyle w:val="FootnoteReference"/>
          <w:rFonts w:ascii="Times New Roman" w:hAnsi="Times New Roman" w:cs="Times New Roman"/>
        </w:rPr>
        <w:footnoteReference w:id="2"/>
      </w:r>
      <w:r w:rsidR="00E07A3E">
        <w:rPr>
          <w:rFonts w:ascii="Times New Roman" w:hAnsi="Times New Roman" w:cs="Times New Roman"/>
        </w:rPr>
        <w:t xml:space="preserve"> the state is not tracking compliance with </w:t>
      </w:r>
      <w:r w:rsidR="00E07A3E" w:rsidRPr="00E07A3E">
        <w:rPr>
          <w:rFonts w:ascii="Times New Roman" w:eastAsia="Times New Roman" w:hAnsi="Times New Roman" w:cs="Times New Roman"/>
          <w:color w:val="141414"/>
          <w:kern w:val="36"/>
          <w14:ligatures w14:val="none"/>
        </w:rPr>
        <w:t>Mass. General Laws c.111 § 72GG</w:t>
      </w:r>
      <w:r w:rsidR="00E07A3E">
        <w:rPr>
          <w:rFonts w:ascii="Times New Roman" w:eastAsia="Times New Roman" w:hAnsi="Times New Roman" w:cs="Times New Roman"/>
          <w:color w:val="141414"/>
          <w:kern w:val="36"/>
          <w14:ligatures w14:val="none"/>
        </w:rPr>
        <w:t xml:space="preserve">, </w:t>
      </w:r>
      <w:r w:rsidR="00E07A3E" w:rsidRPr="00E07A3E">
        <w:rPr>
          <w:rFonts w:ascii="Times New Roman" w:eastAsia="Times New Roman" w:hAnsi="Times New Roman" w:cs="Times New Roman"/>
          <w:color w:val="141414"/>
          <w:kern w:val="0"/>
          <w14:ligatures w14:val="none"/>
        </w:rPr>
        <w:t>Prohibiting discrimination against residents on the basis of gender identity or expression, sexual orientation, intersex status, or HIV status; long-term care facilities; notice; care for transgender residents; LGBTQI inclusion in programming; rules and regulations; training</w:t>
      </w:r>
      <w:r w:rsidR="00E07A3E">
        <w:rPr>
          <w:rFonts w:ascii="Times New Roman" w:eastAsia="Times New Roman" w:hAnsi="Times New Roman" w:cs="Times New Roman"/>
          <w:color w:val="141414"/>
          <w:kern w:val="0"/>
          <w14:ligatures w14:val="none"/>
        </w:rPr>
        <w:t>,  Perhaps this bill should be amended requiring DPH to report annually on compliance</w:t>
      </w:r>
      <w:r w:rsidR="009E5785">
        <w:rPr>
          <w:rFonts w:ascii="Times New Roman" w:eastAsia="Times New Roman" w:hAnsi="Times New Roman" w:cs="Times New Roman"/>
          <w:color w:val="141414"/>
          <w:kern w:val="0"/>
          <w14:ligatures w14:val="none"/>
        </w:rPr>
        <w:t xml:space="preserve"> to this committee and the committees on Ways and Means.</w:t>
      </w:r>
    </w:p>
    <w:p w14:paraId="679F236B" w14:textId="77777777" w:rsidR="009E5785" w:rsidRPr="00E07A3E" w:rsidRDefault="009E5785" w:rsidP="00E07A3E">
      <w:pPr>
        <w:spacing w:after="96" w:line="240" w:lineRule="auto"/>
        <w:outlineLvl w:val="0"/>
        <w:rPr>
          <w:rFonts w:ascii="Times New Roman" w:eastAsia="Times New Roman" w:hAnsi="Times New Roman" w:cs="Times New Roman"/>
          <w:color w:val="141414"/>
          <w:kern w:val="0"/>
          <w14:ligatures w14:val="none"/>
        </w:rPr>
      </w:pPr>
    </w:p>
    <w:p w14:paraId="407178C5" w14:textId="00AC71F3" w:rsidR="00943041" w:rsidRPr="00943041" w:rsidRDefault="00943041" w:rsidP="00943041">
      <w:pPr>
        <w:spacing w:line="259" w:lineRule="auto"/>
        <w:rPr>
          <w:rFonts w:ascii="Times New Roman" w:hAnsi="Times New Roman" w:cs="Times New Roman"/>
          <w:b/>
          <w:bCs/>
          <w:color w:val="000000" w:themeColor="text1"/>
          <w:sz w:val="28"/>
          <w:szCs w:val="28"/>
        </w:rPr>
      </w:pPr>
      <w:r>
        <w:rPr>
          <w:rFonts w:ascii="Times New Roman" w:hAnsi="Times New Roman" w:cs="Times New Roman"/>
          <w:b/>
          <w:bCs/>
          <w:color w:val="70AD47" w:themeColor="accent6"/>
          <w:sz w:val="28"/>
          <w:szCs w:val="28"/>
        </w:rPr>
        <w:t>S471/H777 -</w:t>
      </w:r>
      <w:r>
        <w:rPr>
          <w:rFonts w:ascii="Times New Roman" w:hAnsi="Times New Roman" w:cs="Times New Roman"/>
          <w:b/>
          <w:bCs/>
          <w:color w:val="000000" w:themeColor="text1"/>
          <w:sz w:val="28"/>
          <w:szCs w:val="28"/>
        </w:rPr>
        <w:t>An Act supporting seniors’ financial stability.</w:t>
      </w:r>
    </w:p>
    <w:p w14:paraId="197B15BF" w14:textId="77777777" w:rsidR="000B527D" w:rsidRDefault="009911D9" w:rsidP="000B527D">
      <w:pPr>
        <w:pStyle w:val="defaultstyledtext-sc-tl066j-0"/>
        <w:spacing w:before="0" w:beforeAutospacing="0" w:after="0" w:afterAutospacing="0"/>
        <w:jc w:val="both"/>
        <w:textAlignment w:val="baseline"/>
        <w:rPr>
          <w:shd w:val="clear" w:color="auto" w:fill="FFFFFF"/>
        </w:rPr>
      </w:pPr>
      <w:r w:rsidRPr="009911D9">
        <w:t>The bills require the State Treasurer to establish a program for financial education for older adults and periodically update.  Needs to be amended in line 5 to replace “elder affairs’ with “aging and independence</w:t>
      </w:r>
      <w:r w:rsidR="00F132A6">
        <w:t xml:space="preserve">  </w:t>
      </w:r>
      <w:r w:rsidR="00926A1E">
        <w:t xml:space="preserve"> </w:t>
      </w:r>
      <w:r w:rsidR="00F132A6">
        <w:t>Older</w:t>
      </w:r>
      <w:r w:rsidR="00926A1E">
        <w:t>-</w:t>
      </w:r>
      <w:r w:rsidR="00F132A6">
        <w:t xml:space="preserve">adults are frequent targets of scammers and many do not have the life experience important to manage personal finances as they age.  </w:t>
      </w:r>
      <w:r w:rsidR="00B32B3F" w:rsidRPr="00B32B3F">
        <w:rPr>
          <w:shd w:val="clear" w:color="auto" w:fill="FFFFFF"/>
        </w:rPr>
        <w:t>According to the FBI-Boston, criminal "actors" target </w:t>
      </w:r>
      <w:r w:rsidR="00B32B3F" w:rsidRPr="00B32B3F">
        <w:rPr>
          <w:rStyle w:val="Strong"/>
          <w:shd w:val="clear" w:color="auto" w:fill="FFFFFF"/>
        </w:rPr>
        <w:t>older</w:t>
      </w:r>
      <w:r w:rsidR="00B32B3F" w:rsidRPr="00B32B3F">
        <w:rPr>
          <w:shd w:val="clear" w:color="auto" w:fill="FFFFFF"/>
        </w:rPr>
        <w:t> adults, who are </w:t>
      </w:r>
      <w:r w:rsidR="00B32B3F" w:rsidRPr="00B32B3F">
        <w:rPr>
          <w:rStyle w:val="Strong"/>
          <w:shd w:val="clear" w:color="auto" w:fill="FFFFFF"/>
        </w:rPr>
        <w:t>vulnerable</w:t>
      </w:r>
      <w:r w:rsidR="00B32B3F" w:rsidRPr="00B32B3F">
        <w:rPr>
          <w:shd w:val="clear" w:color="auto" w:fill="FFFFFF"/>
        </w:rPr>
        <w:t>, trusting, and have a good amount of </w:t>
      </w:r>
      <w:r w:rsidR="00B32B3F" w:rsidRPr="00B32B3F">
        <w:rPr>
          <w:rStyle w:val="Strong"/>
          <w:shd w:val="clear" w:color="auto" w:fill="FFFFFF"/>
        </w:rPr>
        <w:t>financial</w:t>
      </w:r>
      <w:r w:rsidR="00B32B3F" w:rsidRPr="00B32B3F">
        <w:rPr>
          <w:shd w:val="clear" w:color="auto" w:fill="FFFFFF"/>
        </w:rPr>
        <w:t> savings. "They also assume </w:t>
      </w:r>
      <w:r w:rsidR="00B32B3F" w:rsidRPr="00B32B3F">
        <w:rPr>
          <w:rStyle w:val="Strong"/>
          <w:shd w:val="clear" w:color="auto" w:fill="FFFFFF"/>
        </w:rPr>
        <w:t>seniors</w:t>
      </w:r>
      <w:r w:rsidR="00B32B3F" w:rsidRPr="00B32B3F">
        <w:rPr>
          <w:shd w:val="clear" w:color="auto" w:fill="FFFFFF"/>
        </w:rPr>
        <w:t> own real estate, have good credit, and are less likely to report </w:t>
      </w:r>
      <w:r w:rsidR="00B32B3F" w:rsidRPr="00B32B3F">
        <w:rPr>
          <w:rStyle w:val="Strong"/>
          <w:shd w:val="clear" w:color="auto" w:fill="FFFFFF"/>
        </w:rPr>
        <w:t>fraud</w:t>
      </w:r>
      <w:r w:rsidR="00B32B3F" w:rsidRPr="00B32B3F">
        <w:rPr>
          <w:shd w:val="clear" w:color="auto" w:fill="FFFFFF"/>
        </w:rPr>
        <w:t>," according to a statement from the FBI-Boston.</w:t>
      </w:r>
      <w:r w:rsidR="008C58F0">
        <w:rPr>
          <w:rStyle w:val="FootnoteReference"/>
          <w:shd w:val="clear" w:color="auto" w:fill="FFFFFF"/>
        </w:rPr>
        <w:footnoteReference w:id="3"/>
      </w:r>
    </w:p>
    <w:p w14:paraId="2573031E" w14:textId="77777777" w:rsidR="000B527D" w:rsidRDefault="000B527D" w:rsidP="000B527D">
      <w:pPr>
        <w:pStyle w:val="defaultstyledtext-sc-tl066j-0"/>
        <w:spacing w:before="0" w:beforeAutospacing="0" w:after="0" w:afterAutospacing="0"/>
        <w:jc w:val="both"/>
        <w:textAlignment w:val="baseline"/>
        <w:rPr>
          <w:shd w:val="clear" w:color="auto" w:fill="FFFFFF"/>
        </w:rPr>
      </w:pPr>
    </w:p>
    <w:p w14:paraId="1BCAC9EF" w14:textId="0EA43016" w:rsidR="000B527D" w:rsidRPr="000B527D" w:rsidRDefault="000B527D" w:rsidP="000B527D">
      <w:pPr>
        <w:pStyle w:val="defaultstyledtext-sc-tl066j-0"/>
        <w:spacing w:before="0" w:beforeAutospacing="0" w:after="0" w:afterAutospacing="0"/>
        <w:jc w:val="both"/>
        <w:textAlignment w:val="baseline"/>
        <w:rPr>
          <w:color w:val="191919"/>
          <w:spacing w:val="2"/>
        </w:rPr>
      </w:pPr>
      <w:r>
        <w:rPr>
          <w:shd w:val="clear" w:color="auto" w:fill="FFFFFF"/>
        </w:rPr>
        <w:t>Last year, Channel 25 News reported</w:t>
      </w:r>
      <w:r w:rsidRPr="000B527D">
        <w:rPr>
          <w:shd w:val="clear" w:color="auto" w:fill="FFFFFF"/>
        </w:rPr>
        <w:t xml:space="preserve">: </w:t>
      </w:r>
      <w:r w:rsidRPr="000B527D">
        <w:rPr>
          <w:color w:val="191919"/>
          <w:spacing w:val="2"/>
        </w:rPr>
        <w:t>The cybersecurity website </w:t>
      </w:r>
      <w:proofErr w:type="spellStart"/>
      <w:r w:rsidRPr="000B527D">
        <w:rPr>
          <w:color w:val="191919"/>
          <w:spacing w:val="2"/>
        </w:rPr>
        <w:fldChar w:fldCharType="begin"/>
      </w:r>
      <w:r w:rsidRPr="000B527D">
        <w:rPr>
          <w:color w:val="191919"/>
          <w:spacing w:val="2"/>
        </w:rPr>
        <w:instrText>HYPERLINK "https://vpnpro.com/about-us/"</w:instrText>
      </w:r>
      <w:r w:rsidRPr="000B527D">
        <w:rPr>
          <w:color w:val="191919"/>
          <w:spacing w:val="2"/>
        </w:rPr>
      </w:r>
      <w:r w:rsidRPr="000B527D">
        <w:rPr>
          <w:color w:val="191919"/>
          <w:spacing w:val="2"/>
        </w:rPr>
        <w:fldChar w:fldCharType="separate"/>
      </w:r>
      <w:r w:rsidRPr="000B527D">
        <w:rPr>
          <w:rStyle w:val="Hyperlink"/>
          <w:b/>
          <w:bCs/>
          <w:color w:val="0E1849"/>
          <w:spacing w:val="2"/>
          <w:bdr w:val="none" w:sz="0" w:space="0" w:color="auto" w:frame="1"/>
        </w:rPr>
        <w:t>VPNPro</w:t>
      </w:r>
      <w:proofErr w:type="spellEnd"/>
      <w:r w:rsidRPr="000B527D">
        <w:rPr>
          <w:color w:val="191919"/>
          <w:spacing w:val="2"/>
        </w:rPr>
        <w:fldChar w:fldCharType="end"/>
      </w:r>
      <w:r w:rsidRPr="000B527D">
        <w:rPr>
          <w:color w:val="191919"/>
          <w:spacing w:val="2"/>
        </w:rPr>
        <w:t> analyzed 2022 fraud data from the FBI and FTC and found Massachusetts had a total of 1,653 fraud victims over the age of 60 with an average loss of $42,408 lost per victim.</w:t>
      </w:r>
      <w:r>
        <w:rPr>
          <w:color w:val="191919"/>
          <w:spacing w:val="2"/>
        </w:rPr>
        <w:t xml:space="preserve">  </w:t>
      </w:r>
      <w:r w:rsidRPr="000B527D">
        <w:rPr>
          <w:color w:val="191919"/>
          <w:spacing w:val="2"/>
        </w:rPr>
        <w:t xml:space="preserve">“The number of </w:t>
      </w:r>
      <w:proofErr w:type="gramStart"/>
      <w:r w:rsidRPr="000B527D">
        <w:rPr>
          <w:color w:val="191919"/>
          <w:spacing w:val="2"/>
        </w:rPr>
        <w:t>home [computers]</w:t>
      </w:r>
      <w:proofErr w:type="gramEnd"/>
      <w:r w:rsidRPr="000B527D">
        <w:rPr>
          <w:color w:val="191919"/>
          <w:spacing w:val="2"/>
        </w:rPr>
        <w:t>, especially ones with older users, that don’t have anti-virus [software] is significant,” said Blue Mantis cybersecurity consultant Rob Fitzgerald. [Seniors] might ask, ‘Why would they want me?’ Well, they want you for your 401k, real estate trust or social security check.”</w:t>
      </w:r>
      <w:r>
        <w:rPr>
          <w:color w:val="191919"/>
          <w:spacing w:val="2"/>
        </w:rPr>
        <w:t xml:space="preserve">  </w:t>
      </w:r>
      <w:r w:rsidRPr="000B527D">
        <w:rPr>
          <w:color w:val="191919"/>
          <w:spacing w:val="2"/>
        </w:rPr>
        <w:t xml:space="preserve">The company found people aged 60 and older were 517 percent more likely to be victims of an online tech support scam than those aged between 18 and 59. The most successful types of fraud involved investment scams, business imposter scams and romance scams, </w:t>
      </w:r>
      <w:proofErr w:type="spellStart"/>
      <w:r w:rsidRPr="000B527D">
        <w:rPr>
          <w:color w:val="191919"/>
          <w:spacing w:val="2"/>
        </w:rPr>
        <w:t>VPNPro</w:t>
      </w:r>
      <w:proofErr w:type="spellEnd"/>
      <w:r w:rsidRPr="000B527D">
        <w:rPr>
          <w:color w:val="191919"/>
          <w:spacing w:val="2"/>
        </w:rPr>
        <w:t xml:space="preserve"> found.</w:t>
      </w:r>
      <w:r>
        <w:rPr>
          <w:rStyle w:val="FootnoteReference"/>
          <w:color w:val="191919"/>
          <w:spacing w:val="2"/>
        </w:rPr>
        <w:footnoteReference w:id="4"/>
      </w:r>
    </w:p>
    <w:p w14:paraId="3A8F16C0" w14:textId="4DB1A1A7" w:rsidR="00943041" w:rsidRPr="000B527D" w:rsidRDefault="00943041" w:rsidP="000B527D">
      <w:pPr>
        <w:spacing w:line="240" w:lineRule="auto"/>
        <w:jc w:val="both"/>
        <w:rPr>
          <w:rFonts w:ascii="Times New Roman" w:hAnsi="Times New Roman" w:cs="Times New Roman"/>
          <w:b/>
          <w:bCs/>
          <w:color w:val="70AD47" w:themeColor="accent6"/>
        </w:rPr>
      </w:pPr>
    </w:p>
    <w:p w14:paraId="2F838F3E" w14:textId="6A11A3E5" w:rsidR="00943041" w:rsidRPr="00943041" w:rsidRDefault="00943041" w:rsidP="00943041">
      <w:pPr>
        <w:spacing w:line="259" w:lineRule="auto"/>
        <w:rPr>
          <w:rFonts w:ascii="Times New Roman" w:hAnsi="Times New Roman" w:cs="Times New Roman"/>
          <w:b/>
          <w:bCs/>
          <w:color w:val="000000" w:themeColor="text1"/>
          <w:sz w:val="28"/>
          <w:szCs w:val="28"/>
        </w:rPr>
      </w:pPr>
      <w:r>
        <w:rPr>
          <w:rFonts w:ascii="Times New Roman" w:hAnsi="Times New Roman" w:cs="Times New Roman"/>
          <w:b/>
          <w:bCs/>
          <w:color w:val="70AD47" w:themeColor="accent6"/>
          <w:sz w:val="28"/>
          <w:szCs w:val="28"/>
        </w:rPr>
        <w:lastRenderedPageBreak/>
        <w:t>S487/H765 -</w:t>
      </w:r>
      <w:r>
        <w:rPr>
          <w:rFonts w:ascii="Times New Roman" w:hAnsi="Times New Roman" w:cs="Times New Roman"/>
          <w:b/>
          <w:bCs/>
          <w:color w:val="000000" w:themeColor="text1"/>
          <w:sz w:val="28"/>
          <w:szCs w:val="28"/>
        </w:rPr>
        <w:t>An Act relative to councils on aging.</w:t>
      </w:r>
    </w:p>
    <w:p w14:paraId="200894D3" w14:textId="3781684D" w:rsidR="009911D9" w:rsidRDefault="009911D9" w:rsidP="00386CC2">
      <w:pPr>
        <w:jc w:val="both"/>
        <w:rPr>
          <w:rFonts w:ascii="Times New Roman" w:hAnsi="Times New Roman" w:cs="Times New Roman"/>
        </w:rPr>
      </w:pPr>
      <w:r w:rsidRPr="009911D9">
        <w:rPr>
          <w:rFonts w:ascii="Times New Roman" w:hAnsi="Times New Roman" w:cs="Times New Roman"/>
        </w:rPr>
        <w:t>The bills update terms and clarifies that the director hires needed staff, council is advisory</w:t>
      </w:r>
      <w:r w:rsidR="005B542A">
        <w:rPr>
          <w:rFonts w:ascii="Times New Roman" w:hAnsi="Times New Roman" w:cs="Times New Roman"/>
        </w:rPr>
        <w:t>, an issue that has undermined the important work of aging services profession</w:t>
      </w:r>
      <w:r w:rsidR="00506605">
        <w:rPr>
          <w:rFonts w:ascii="Times New Roman" w:hAnsi="Times New Roman" w:cs="Times New Roman"/>
        </w:rPr>
        <w:t>als</w:t>
      </w:r>
      <w:r w:rsidRPr="009911D9">
        <w:rPr>
          <w:rFonts w:ascii="Times New Roman" w:hAnsi="Times New Roman" w:cs="Times New Roman"/>
        </w:rPr>
        <w:t>.</w:t>
      </w:r>
      <w:r w:rsidR="00F132A6">
        <w:rPr>
          <w:rFonts w:ascii="Times New Roman" w:hAnsi="Times New Roman" w:cs="Times New Roman"/>
        </w:rPr>
        <w:t xml:space="preserve"> The terms recommended in the proposed bills more accurately describe the role of councils on aging today</w:t>
      </w:r>
      <w:r w:rsidR="00E7237A">
        <w:rPr>
          <w:rFonts w:ascii="Times New Roman" w:hAnsi="Times New Roman" w:cs="Times New Roman"/>
        </w:rPr>
        <w:t>.</w:t>
      </w:r>
    </w:p>
    <w:p w14:paraId="1F3087D1" w14:textId="1AE4AEE5" w:rsidR="00E7237A" w:rsidRPr="008D5D74" w:rsidRDefault="00E7237A" w:rsidP="00386CC2">
      <w:pPr>
        <w:jc w:val="both"/>
        <w:rPr>
          <w:rFonts w:ascii="Times New Roman" w:hAnsi="Times New Roman" w:cs="Times New Roman"/>
        </w:rPr>
      </w:pPr>
      <w:r>
        <w:rPr>
          <w:rFonts w:ascii="Times New Roman" w:hAnsi="Times New Roman" w:cs="Times New Roman"/>
        </w:rPr>
        <w:t xml:space="preserve">According to </w:t>
      </w:r>
      <w:r w:rsidRPr="00E7237A">
        <w:rPr>
          <w:rFonts w:ascii="Times New Roman" w:hAnsi="Times New Roman" w:cs="Times New Roman"/>
          <w:i/>
          <w:iCs/>
        </w:rPr>
        <w:t>Aging Matters Newsletter</w:t>
      </w:r>
      <w:r w:rsidR="008D5D74">
        <w:rPr>
          <w:rFonts w:ascii="Times New Roman" w:hAnsi="Times New Roman" w:cs="Times New Roman"/>
          <w:i/>
          <w:iCs/>
        </w:rPr>
        <w:t xml:space="preserve">, </w:t>
      </w:r>
      <w:r w:rsidR="008D5D74">
        <w:rPr>
          <w:rFonts w:ascii="Times New Roman" w:hAnsi="Times New Roman" w:cs="Times New Roman"/>
        </w:rPr>
        <w:t xml:space="preserve">(3/21/2025) </w:t>
      </w:r>
      <w:r w:rsidR="008D5D74" w:rsidRPr="008D5D74">
        <w:rPr>
          <w:rFonts w:ascii="Times New Roman" w:hAnsi="Times New Roman" w:cs="Times New Roman"/>
          <w:color w:val="000000"/>
          <w:shd w:val="clear" w:color="auto" w:fill="FFFFFF"/>
        </w:rPr>
        <w:t>In the bustling heart of any community, there lies a network of support, a lifeline for those navigating the complexities of aging and life’s challenges. At the Council on Aging (COA), social services play a pivotal role, weaving together resources and compassion to uplift lives.</w:t>
      </w:r>
      <w:r w:rsidR="00821E5B">
        <w:rPr>
          <w:rStyle w:val="FootnoteReference"/>
          <w:rFonts w:ascii="Times New Roman" w:hAnsi="Times New Roman" w:cs="Times New Roman"/>
          <w:color w:val="000000"/>
          <w:shd w:val="clear" w:color="auto" w:fill="FFFFFF"/>
        </w:rPr>
        <w:footnoteReference w:id="5"/>
      </w:r>
      <w:r w:rsidR="00386CC2">
        <w:rPr>
          <w:rFonts w:ascii="Times New Roman" w:hAnsi="Times New Roman" w:cs="Times New Roman"/>
          <w:color w:val="000000"/>
          <w:shd w:val="clear" w:color="auto" w:fill="FFFFFF"/>
        </w:rPr>
        <w:t xml:space="preserve">  Dignity Alliance supports efforts to strengthen to work of this important aspect of local government.</w:t>
      </w:r>
    </w:p>
    <w:p w14:paraId="25B170FD" w14:textId="3A6717CB" w:rsidR="00943041" w:rsidRDefault="00943041" w:rsidP="00943041">
      <w:pPr>
        <w:spacing w:line="259" w:lineRule="auto"/>
        <w:rPr>
          <w:rFonts w:ascii="Times New Roman" w:hAnsi="Times New Roman" w:cs="Times New Roman"/>
          <w:b/>
          <w:bCs/>
          <w:color w:val="000000" w:themeColor="text1"/>
          <w:sz w:val="28"/>
          <w:szCs w:val="28"/>
        </w:rPr>
      </w:pPr>
      <w:r>
        <w:rPr>
          <w:rFonts w:ascii="Times New Roman" w:hAnsi="Times New Roman" w:cs="Times New Roman"/>
          <w:b/>
          <w:bCs/>
          <w:color w:val="70AD47" w:themeColor="accent6"/>
          <w:sz w:val="28"/>
          <w:szCs w:val="28"/>
        </w:rPr>
        <w:t xml:space="preserve">S484 – </w:t>
      </w:r>
      <w:r>
        <w:rPr>
          <w:rFonts w:ascii="Times New Roman" w:hAnsi="Times New Roman" w:cs="Times New Roman"/>
          <w:b/>
          <w:bCs/>
          <w:color w:val="000000" w:themeColor="text1"/>
          <w:sz w:val="28"/>
          <w:szCs w:val="28"/>
        </w:rPr>
        <w:t>An Act relative to reserving beds in nursing homes during certain leaves of absence.</w:t>
      </w:r>
    </w:p>
    <w:p w14:paraId="697FD383" w14:textId="39E6AC70" w:rsidR="00943041" w:rsidRDefault="009911D9" w:rsidP="00126822">
      <w:pPr>
        <w:spacing w:line="259" w:lineRule="auto"/>
        <w:jc w:val="both"/>
        <w:rPr>
          <w:rFonts w:ascii="Times New Roman" w:hAnsi="Times New Roman" w:cs="Times New Roman"/>
        </w:rPr>
      </w:pPr>
      <w:r w:rsidRPr="009911D9">
        <w:rPr>
          <w:rFonts w:ascii="Times New Roman" w:hAnsi="Times New Roman" w:cs="Times New Roman"/>
        </w:rPr>
        <w:t>The bill makes permanent the right of residents to take leaves of absence from a nursing home for health and personal reasons.  Currently, the Legislature needs to include the leave of absence in the annual budget.</w:t>
      </w:r>
      <w:r w:rsidR="00F132A6">
        <w:rPr>
          <w:rFonts w:ascii="Times New Roman" w:hAnsi="Times New Roman" w:cs="Times New Roman"/>
        </w:rPr>
        <w:t xml:space="preserve">  This bill will bring the executive branch into harmony with the legislature demonstrating that both support this important right for older adults in nursing homes so that the leave will be factored into budget development from the outset of the process.</w:t>
      </w:r>
    </w:p>
    <w:p w14:paraId="3BFAC2AA" w14:textId="659F90FC" w:rsidR="007B30C5" w:rsidRDefault="007B30C5" w:rsidP="00126822">
      <w:pPr>
        <w:pBdr>
          <w:bottom w:val="single" w:sz="12" w:space="1" w:color="auto"/>
        </w:pBdr>
        <w:spacing w:line="259" w:lineRule="auto"/>
        <w:jc w:val="both"/>
        <w:rPr>
          <w:rFonts w:ascii="Times New Roman" w:hAnsi="Times New Roman" w:cs="Times New Roman"/>
          <w:color w:val="1B1B1B"/>
          <w:shd w:val="clear" w:color="auto" w:fill="FFFFFF"/>
        </w:rPr>
      </w:pPr>
      <w:r>
        <w:rPr>
          <w:rFonts w:ascii="Times New Roman" w:hAnsi="Times New Roman" w:cs="Times New Roman"/>
        </w:rPr>
        <w:t xml:space="preserve">In a </w:t>
      </w:r>
      <w:r w:rsidR="00D17627">
        <w:rPr>
          <w:rFonts w:ascii="Times New Roman" w:hAnsi="Times New Roman" w:cs="Times New Roman"/>
        </w:rPr>
        <w:t xml:space="preserve">2007 </w:t>
      </w:r>
      <w:r w:rsidR="0030679F">
        <w:rPr>
          <w:rFonts w:ascii="Times New Roman" w:hAnsi="Times New Roman" w:cs="Times New Roman"/>
        </w:rPr>
        <w:t>study</w:t>
      </w:r>
      <w:r w:rsidR="00D17627">
        <w:rPr>
          <w:rFonts w:ascii="Times New Roman" w:hAnsi="Times New Roman" w:cs="Times New Roman"/>
        </w:rPr>
        <w:t xml:space="preserve"> in </w:t>
      </w:r>
      <w:r w:rsidR="00D17627" w:rsidRPr="00D17627">
        <w:rPr>
          <w:rFonts w:ascii="Times New Roman" w:hAnsi="Times New Roman" w:cs="Times New Roman"/>
          <w:i/>
          <w:iCs/>
        </w:rPr>
        <w:t>Pub Med</w:t>
      </w:r>
      <w:r w:rsidR="0030679F">
        <w:rPr>
          <w:rFonts w:ascii="Times New Roman" w:hAnsi="Times New Roman" w:cs="Times New Roman"/>
        </w:rPr>
        <w:t xml:space="preserve"> co-authored by Harvard’s David Grabowski, who has </w:t>
      </w:r>
      <w:r w:rsidR="00126822">
        <w:rPr>
          <w:rFonts w:ascii="Times New Roman" w:hAnsi="Times New Roman" w:cs="Times New Roman"/>
        </w:rPr>
        <w:t>been an important resource for the Massachusetts legislature, it was noted that: “</w:t>
      </w:r>
      <w:r w:rsidR="00126822" w:rsidRPr="00126822">
        <w:rPr>
          <w:rFonts w:ascii="Times New Roman" w:hAnsi="Times New Roman" w:cs="Times New Roman"/>
          <w:color w:val="1B1B1B"/>
          <w:shd w:val="clear" w:color="auto" w:fill="FFFFFF"/>
        </w:rPr>
        <w:t>Bed-hold policies pay nursing homes to reserve the bed of acutely hospitalized residents, and vary across states in the proportion of the average Medicaid daily rate paid for bed-hold, and the number of days covered. Some states also require a minimum facility occupancy rate to qualify for bed-hold payments. The goal of bed-hold is to provide a continuous place of residence for the nursing home resident. In the absence of a bed-hold policy, some residents may refuse hospitalization to avoid loss of their bed (</w:t>
      </w:r>
      <w:proofErr w:type="spellStart"/>
      <w:r w:rsidR="00126822" w:rsidRPr="00126822">
        <w:rPr>
          <w:rFonts w:ascii="Times New Roman" w:hAnsi="Times New Roman" w:cs="Times New Roman"/>
        </w:rPr>
        <w:fldChar w:fldCharType="begin"/>
      </w:r>
      <w:r w:rsidR="00126822" w:rsidRPr="00126822">
        <w:rPr>
          <w:rFonts w:ascii="Times New Roman" w:hAnsi="Times New Roman" w:cs="Times New Roman"/>
        </w:rPr>
        <w:instrText>HYPERLINK "https://pmc.ncbi.nlm.nih.gov/articles/PMC1955269/" \l "b40"</w:instrText>
      </w:r>
      <w:r w:rsidR="00126822" w:rsidRPr="00126822">
        <w:rPr>
          <w:rFonts w:ascii="Times New Roman" w:hAnsi="Times New Roman" w:cs="Times New Roman"/>
        </w:rPr>
      </w:r>
      <w:r w:rsidR="00126822" w:rsidRPr="00126822">
        <w:rPr>
          <w:rFonts w:ascii="Times New Roman" w:hAnsi="Times New Roman" w:cs="Times New Roman"/>
        </w:rPr>
        <w:fldChar w:fldCharType="separate"/>
      </w:r>
      <w:r w:rsidR="00126822" w:rsidRPr="00126822">
        <w:rPr>
          <w:rStyle w:val="Hyperlink"/>
          <w:rFonts w:ascii="Times New Roman" w:hAnsi="Times New Roman" w:cs="Times New Roman"/>
          <w:color w:val="005EA2"/>
          <w:shd w:val="clear" w:color="auto" w:fill="FFFFFF"/>
        </w:rPr>
        <w:t>Nohlgren</w:t>
      </w:r>
      <w:proofErr w:type="spellEnd"/>
      <w:r w:rsidR="00126822" w:rsidRPr="00126822">
        <w:rPr>
          <w:rStyle w:val="Hyperlink"/>
          <w:rFonts w:ascii="Times New Roman" w:hAnsi="Times New Roman" w:cs="Times New Roman"/>
          <w:color w:val="005EA2"/>
          <w:shd w:val="clear" w:color="auto" w:fill="FFFFFF"/>
        </w:rPr>
        <w:t xml:space="preserve"> 2004</w:t>
      </w:r>
      <w:r w:rsidR="00126822" w:rsidRPr="00126822">
        <w:rPr>
          <w:rFonts w:ascii="Times New Roman" w:hAnsi="Times New Roman" w:cs="Times New Roman"/>
        </w:rPr>
        <w:fldChar w:fldCharType="end"/>
      </w:r>
      <w:r w:rsidR="00126822" w:rsidRPr="00126822">
        <w:rPr>
          <w:rFonts w:ascii="Times New Roman" w:hAnsi="Times New Roman" w:cs="Times New Roman"/>
          <w:color w:val="1B1B1B"/>
          <w:shd w:val="clear" w:color="auto" w:fill="FFFFFF"/>
        </w:rPr>
        <w:t>).</w:t>
      </w:r>
      <w:r w:rsidR="00126822">
        <w:rPr>
          <w:rStyle w:val="FootnoteReference"/>
          <w:rFonts w:ascii="Times New Roman" w:hAnsi="Times New Roman" w:cs="Times New Roman"/>
          <w:color w:val="1B1B1B"/>
          <w:shd w:val="clear" w:color="auto" w:fill="FFFFFF"/>
        </w:rPr>
        <w:footnoteReference w:id="6"/>
      </w:r>
      <w:r w:rsidR="00126822" w:rsidRPr="00126822">
        <w:rPr>
          <w:rFonts w:ascii="Times New Roman" w:hAnsi="Times New Roman" w:cs="Times New Roman"/>
          <w:color w:val="1B1B1B"/>
          <w:shd w:val="clear" w:color="auto" w:fill="FFFFFF"/>
        </w:rPr>
        <w:t> </w:t>
      </w:r>
    </w:p>
    <w:p w14:paraId="3E4503EC" w14:textId="77777777" w:rsidR="00517461" w:rsidRDefault="00517461" w:rsidP="00126822">
      <w:pPr>
        <w:pBdr>
          <w:bottom w:val="single" w:sz="12" w:space="1" w:color="auto"/>
        </w:pBdr>
        <w:spacing w:line="259" w:lineRule="auto"/>
        <w:jc w:val="both"/>
        <w:rPr>
          <w:rFonts w:ascii="Times New Roman" w:hAnsi="Times New Roman" w:cs="Times New Roman"/>
          <w:color w:val="1B1B1B"/>
          <w:shd w:val="clear" w:color="auto" w:fill="FFFFFF"/>
        </w:rPr>
      </w:pPr>
    </w:p>
    <w:p w14:paraId="57D96DD9" w14:textId="4DE34A31" w:rsidR="00943041" w:rsidRPr="00943041" w:rsidRDefault="00943041" w:rsidP="00D345D8">
      <w:pPr>
        <w:spacing w:line="259" w:lineRule="auto"/>
        <w:jc w:val="both"/>
        <w:rPr>
          <w:sz w:val="22"/>
          <w:szCs w:val="22"/>
        </w:rPr>
      </w:pPr>
      <w:r w:rsidRPr="00943041">
        <w:rPr>
          <w:rFonts w:ascii="Times New Roman" w:hAnsi="Times New Roman" w:cs="Times New Roman"/>
          <w:sz w:val="22"/>
          <w:szCs w:val="22"/>
        </w:rPr>
        <w:t xml:space="preserve">Dignity Alliance Massachusetts is dedicated to transformative change to ensure the dignity of older adults, people with disabilities, and their caregivers.  We are committed to advancing new ways of providing long-term services, support, living options, and care, while respecting choice and self-determination.  Through education, legislation, regulatory reform, and legal strategies, this mission will become reality throughout the Commonwealth. As a non-profit, all-volunteer, grass-roots coalition of aging and disability service and advocacy organizations and supporters, Dignity Alliance Massachusetts works to secure fundamental change  For more information on the “Dignity Dozen +1” 2025-2026 Legislative package, contact Former Senator Richard T. Moore, Legislative Chair, at </w:t>
      </w:r>
      <w:hyperlink r:id="rId12" w:history="1">
        <w:r w:rsidRPr="00943041">
          <w:rPr>
            <w:rFonts w:ascii="Times New Roman" w:hAnsi="Times New Roman" w:cs="Times New Roman"/>
            <w:color w:val="0563C1" w:themeColor="hyperlink"/>
            <w:sz w:val="22"/>
            <w:szCs w:val="22"/>
            <w:u w:val="single"/>
          </w:rPr>
          <w:t>rmoore8743@charter.net</w:t>
        </w:r>
      </w:hyperlink>
      <w:r w:rsidRPr="00943041">
        <w:rPr>
          <w:rFonts w:ascii="Times New Roman" w:hAnsi="Times New Roman" w:cs="Times New Roman"/>
          <w:sz w:val="22"/>
          <w:szCs w:val="22"/>
        </w:rPr>
        <w:t xml:space="preserve"> or visit the Dignity Alliance web site. </w:t>
      </w:r>
      <w:hyperlink r:id="rId13" w:history="1">
        <w:r w:rsidRPr="00943041">
          <w:rPr>
            <w:rFonts w:ascii="Times New Roman" w:hAnsi="Times New Roman" w:cs="Times New Roman"/>
            <w:color w:val="0000FF"/>
            <w:spacing w:val="-4"/>
            <w:sz w:val="22"/>
            <w:szCs w:val="22"/>
            <w:u w:val="single"/>
            <w:shd w:val="clear" w:color="auto" w:fill="FFFFFF"/>
          </w:rPr>
          <w:t>info@dignityAllianceMA.org</w:t>
        </w:r>
      </w:hyperlink>
    </w:p>
    <w:sectPr w:rsidR="00943041" w:rsidRPr="0094304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FEC5" w14:textId="77777777" w:rsidR="007334F1" w:rsidRDefault="007334F1" w:rsidP="009911D9">
      <w:pPr>
        <w:spacing w:after="0" w:line="240" w:lineRule="auto"/>
      </w:pPr>
      <w:r>
        <w:separator/>
      </w:r>
    </w:p>
  </w:endnote>
  <w:endnote w:type="continuationSeparator" w:id="0">
    <w:p w14:paraId="73300151" w14:textId="77777777" w:rsidR="007334F1" w:rsidRDefault="007334F1" w:rsidP="0099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804242"/>
      <w:docPartObj>
        <w:docPartGallery w:val="Page Numbers (Bottom of Page)"/>
        <w:docPartUnique/>
      </w:docPartObj>
    </w:sdtPr>
    <w:sdtEndPr>
      <w:rPr>
        <w:noProof/>
      </w:rPr>
    </w:sdtEndPr>
    <w:sdtContent>
      <w:p w14:paraId="065A268D" w14:textId="5EEAF3C7" w:rsidR="009911D9" w:rsidRDefault="009911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1D370F" w14:textId="77777777" w:rsidR="009911D9" w:rsidRDefault="0099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0C2C" w14:textId="77777777" w:rsidR="007334F1" w:rsidRDefault="007334F1" w:rsidP="009911D9">
      <w:pPr>
        <w:spacing w:after="0" w:line="240" w:lineRule="auto"/>
      </w:pPr>
      <w:r>
        <w:separator/>
      </w:r>
    </w:p>
  </w:footnote>
  <w:footnote w:type="continuationSeparator" w:id="0">
    <w:p w14:paraId="163AF9E1" w14:textId="77777777" w:rsidR="007334F1" w:rsidRDefault="007334F1" w:rsidP="009911D9">
      <w:pPr>
        <w:spacing w:after="0" w:line="240" w:lineRule="auto"/>
      </w:pPr>
      <w:r>
        <w:continuationSeparator/>
      </w:r>
    </w:p>
  </w:footnote>
  <w:footnote w:id="1">
    <w:p w14:paraId="62CFB0E3" w14:textId="3290591E" w:rsidR="000B2D59" w:rsidRDefault="000B2D59">
      <w:pPr>
        <w:pStyle w:val="FootnoteText"/>
      </w:pPr>
      <w:r>
        <w:rPr>
          <w:rStyle w:val="FootnoteReference"/>
        </w:rPr>
        <w:footnoteRef/>
      </w:r>
      <w:r>
        <w:t xml:space="preserve"> </w:t>
      </w:r>
      <w:hyperlink r:id="rId1" w:history="1">
        <w:r>
          <w:rPr>
            <w:rStyle w:val="Hyperlink"/>
          </w:rPr>
          <w:t>Healey-Driscoll Administration Files $756 Million Supplemental Budget for Fiscal Year 2025 | Mass.gov</w:t>
        </w:r>
      </w:hyperlink>
      <w:r>
        <w:t xml:space="preserve"> </w:t>
      </w:r>
    </w:p>
  </w:footnote>
  <w:footnote w:id="2">
    <w:p w14:paraId="16D75E42" w14:textId="6E18B1AA" w:rsidR="0034314F" w:rsidRDefault="0034314F">
      <w:pPr>
        <w:pStyle w:val="FootnoteText"/>
      </w:pPr>
      <w:r>
        <w:rPr>
          <w:rStyle w:val="FootnoteReference"/>
        </w:rPr>
        <w:footnoteRef/>
      </w:r>
      <w:r>
        <w:t xml:space="preserve"> </w:t>
      </w:r>
      <w:hyperlink r:id="rId2" w:history="1">
        <w:r>
          <w:rPr>
            <w:rStyle w:val="Hyperlink"/>
          </w:rPr>
          <w:t>Is Massachusetts' pioneering LGBTQ care law working?</w:t>
        </w:r>
      </w:hyperlink>
      <w:r>
        <w:t xml:space="preserve"> </w:t>
      </w:r>
    </w:p>
  </w:footnote>
  <w:footnote w:id="3">
    <w:p w14:paraId="6D99C4A9" w14:textId="063393C1" w:rsidR="008C58F0" w:rsidRDefault="008C58F0">
      <w:pPr>
        <w:pStyle w:val="FootnoteText"/>
      </w:pPr>
      <w:r>
        <w:rPr>
          <w:rStyle w:val="FootnoteReference"/>
        </w:rPr>
        <w:footnoteRef/>
      </w:r>
      <w:r>
        <w:t xml:space="preserve"> </w:t>
      </w:r>
      <w:hyperlink r:id="rId3" w:history="1">
        <w:r>
          <w:rPr>
            <w:rStyle w:val="Hyperlink"/>
          </w:rPr>
          <w:t>District of Massachusetts | U.S. Attorney's Office Hosts Fraud and Abuse Prevention Seminars for Seniors | United States Department of Justice</w:t>
        </w:r>
      </w:hyperlink>
    </w:p>
  </w:footnote>
  <w:footnote w:id="4">
    <w:p w14:paraId="4BD56FB1" w14:textId="49274085" w:rsidR="000B527D" w:rsidRDefault="000B527D">
      <w:pPr>
        <w:pStyle w:val="FootnoteText"/>
      </w:pPr>
      <w:r>
        <w:rPr>
          <w:rStyle w:val="FootnoteReference"/>
        </w:rPr>
        <w:footnoteRef/>
      </w:r>
      <w:r>
        <w:t xml:space="preserve"> </w:t>
      </w:r>
      <w:hyperlink r:id="rId4" w:history="1">
        <w:r w:rsidR="0065176F">
          <w:rPr>
            <w:rStyle w:val="Hyperlink"/>
          </w:rPr>
          <w:t>Report: Massachusetts seniors lost $70 million to fraud in one year – Boston 25 News</w:t>
        </w:r>
      </w:hyperlink>
      <w:r w:rsidR="0065176F">
        <w:t xml:space="preserve"> </w:t>
      </w:r>
    </w:p>
  </w:footnote>
  <w:footnote w:id="5">
    <w:p w14:paraId="423AB191" w14:textId="7A6804CE" w:rsidR="00821E5B" w:rsidRDefault="00821E5B">
      <w:pPr>
        <w:pStyle w:val="FootnoteText"/>
      </w:pPr>
      <w:r>
        <w:rPr>
          <w:rStyle w:val="FootnoteReference"/>
        </w:rPr>
        <w:footnoteRef/>
      </w:r>
      <w:r>
        <w:t xml:space="preserve"> </w:t>
      </w:r>
      <w:hyperlink r:id="rId5" w:history="1">
        <w:r w:rsidR="000A4A81">
          <w:rPr>
            <w:rStyle w:val="Hyperlink"/>
          </w:rPr>
          <w:t>The Heartbeat of Community: Uplifting Lives Through Council on Aging Social Services | Massachusetts Councils on Aging</w:t>
        </w:r>
      </w:hyperlink>
    </w:p>
  </w:footnote>
  <w:footnote w:id="6">
    <w:p w14:paraId="2ADA0BC1" w14:textId="20D3588C" w:rsidR="00126822" w:rsidRDefault="00126822">
      <w:pPr>
        <w:pStyle w:val="FootnoteText"/>
      </w:pPr>
      <w:r>
        <w:rPr>
          <w:rStyle w:val="FootnoteReference"/>
        </w:rPr>
        <w:footnoteRef/>
      </w:r>
      <w:r>
        <w:t xml:space="preserve"> </w:t>
      </w:r>
      <w:hyperlink r:id="rId6" w:history="1">
        <w:r w:rsidR="00D345D8">
          <w:rPr>
            <w:rStyle w:val="Hyperlink"/>
          </w:rPr>
          <w:t>Hospitalization of Nursing Home Residents: The Effects of States' Medicaid Payment and Bed-Hold Policies - PMC</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1"/>
    <w:rsid w:val="000A4A81"/>
    <w:rsid w:val="000B2D59"/>
    <w:rsid w:val="000B527D"/>
    <w:rsid w:val="000C4ACC"/>
    <w:rsid w:val="00117536"/>
    <w:rsid w:val="00126822"/>
    <w:rsid w:val="00177FF8"/>
    <w:rsid w:val="001970E9"/>
    <w:rsid w:val="001C227B"/>
    <w:rsid w:val="00212F3D"/>
    <w:rsid w:val="0023606C"/>
    <w:rsid w:val="002A7896"/>
    <w:rsid w:val="002D7C56"/>
    <w:rsid w:val="002F07B5"/>
    <w:rsid w:val="0030288E"/>
    <w:rsid w:val="0030679F"/>
    <w:rsid w:val="0031016D"/>
    <w:rsid w:val="003225D9"/>
    <w:rsid w:val="0034314F"/>
    <w:rsid w:val="00351777"/>
    <w:rsid w:val="0035462C"/>
    <w:rsid w:val="00362DE3"/>
    <w:rsid w:val="003630F5"/>
    <w:rsid w:val="00376981"/>
    <w:rsid w:val="00385CD7"/>
    <w:rsid w:val="00386CC2"/>
    <w:rsid w:val="00387708"/>
    <w:rsid w:val="003A74B6"/>
    <w:rsid w:val="004103B8"/>
    <w:rsid w:val="00461B2C"/>
    <w:rsid w:val="00506605"/>
    <w:rsid w:val="0050772D"/>
    <w:rsid w:val="00515378"/>
    <w:rsid w:val="00517461"/>
    <w:rsid w:val="005221D1"/>
    <w:rsid w:val="00524D81"/>
    <w:rsid w:val="005A15E0"/>
    <w:rsid w:val="005B542A"/>
    <w:rsid w:val="0065176F"/>
    <w:rsid w:val="00707D4A"/>
    <w:rsid w:val="00721EC8"/>
    <w:rsid w:val="007334F1"/>
    <w:rsid w:val="00775731"/>
    <w:rsid w:val="007A540D"/>
    <w:rsid w:val="007B30C5"/>
    <w:rsid w:val="00821E5B"/>
    <w:rsid w:val="008C58F0"/>
    <w:rsid w:val="008D5D74"/>
    <w:rsid w:val="008F3C6A"/>
    <w:rsid w:val="009250EC"/>
    <w:rsid w:val="00926A1E"/>
    <w:rsid w:val="00943041"/>
    <w:rsid w:val="009911D9"/>
    <w:rsid w:val="009964A9"/>
    <w:rsid w:val="009E5785"/>
    <w:rsid w:val="00AF2410"/>
    <w:rsid w:val="00B32B3F"/>
    <w:rsid w:val="00B378AA"/>
    <w:rsid w:val="00B85DDE"/>
    <w:rsid w:val="00C674E5"/>
    <w:rsid w:val="00CB276D"/>
    <w:rsid w:val="00CF3DDF"/>
    <w:rsid w:val="00D1167E"/>
    <w:rsid w:val="00D17627"/>
    <w:rsid w:val="00D345D8"/>
    <w:rsid w:val="00D65B04"/>
    <w:rsid w:val="00DC0026"/>
    <w:rsid w:val="00DD0FDA"/>
    <w:rsid w:val="00DE0D38"/>
    <w:rsid w:val="00E07A3E"/>
    <w:rsid w:val="00E7237A"/>
    <w:rsid w:val="00EB2265"/>
    <w:rsid w:val="00EB2522"/>
    <w:rsid w:val="00F035BE"/>
    <w:rsid w:val="00F06905"/>
    <w:rsid w:val="00F132A6"/>
    <w:rsid w:val="00F21DB8"/>
    <w:rsid w:val="00F552CA"/>
    <w:rsid w:val="00F907AC"/>
    <w:rsid w:val="00FD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7AE8"/>
  <w15:chartTrackingRefBased/>
  <w15:docId w15:val="{6178690C-4B04-45F2-B60E-476099A1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1D9"/>
  </w:style>
  <w:style w:type="paragraph" w:styleId="Footer">
    <w:name w:val="footer"/>
    <w:basedOn w:val="Normal"/>
    <w:link w:val="FooterChar"/>
    <w:uiPriority w:val="99"/>
    <w:unhideWhenUsed/>
    <w:rsid w:val="00991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1D9"/>
  </w:style>
  <w:style w:type="paragraph" w:styleId="FootnoteText">
    <w:name w:val="footnote text"/>
    <w:basedOn w:val="Normal"/>
    <w:link w:val="FootnoteTextChar"/>
    <w:uiPriority w:val="99"/>
    <w:semiHidden/>
    <w:unhideWhenUsed/>
    <w:rsid w:val="000B2D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D59"/>
    <w:rPr>
      <w:sz w:val="20"/>
      <w:szCs w:val="20"/>
    </w:rPr>
  </w:style>
  <w:style w:type="character" w:styleId="FootnoteReference">
    <w:name w:val="footnote reference"/>
    <w:basedOn w:val="DefaultParagraphFont"/>
    <w:uiPriority w:val="99"/>
    <w:semiHidden/>
    <w:unhideWhenUsed/>
    <w:rsid w:val="000B2D59"/>
    <w:rPr>
      <w:vertAlign w:val="superscript"/>
    </w:rPr>
  </w:style>
  <w:style w:type="character" w:styleId="Hyperlink">
    <w:name w:val="Hyperlink"/>
    <w:basedOn w:val="DefaultParagraphFont"/>
    <w:uiPriority w:val="99"/>
    <w:semiHidden/>
    <w:unhideWhenUsed/>
    <w:rsid w:val="000B2D59"/>
    <w:rPr>
      <w:color w:val="0000FF"/>
      <w:u w:val="single"/>
    </w:rPr>
  </w:style>
  <w:style w:type="character" w:styleId="Strong">
    <w:name w:val="Strong"/>
    <w:basedOn w:val="DefaultParagraphFont"/>
    <w:uiPriority w:val="22"/>
    <w:qFormat/>
    <w:rsid w:val="00B32B3F"/>
    <w:rPr>
      <w:b/>
      <w:bCs/>
    </w:rPr>
  </w:style>
  <w:style w:type="paragraph" w:customStyle="1" w:styleId="defaultstyledtext-sc-tl066j-0">
    <w:name w:val="default__styledtext-sc-tl066j-0"/>
    <w:basedOn w:val="Normal"/>
    <w:rsid w:val="000B52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27200">
      <w:bodyDiv w:val="1"/>
      <w:marLeft w:val="0"/>
      <w:marRight w:val="0"/>
      <w:marTop w:val="0"/>
      <w:marBottom w:val="0"/>
      <w:divBdr>
        <w:top w:val="none" w:sz="0" w:space="0" w:color="auto"/>
        <w:left w:val="none" w:sz="0" w:space="0" w:color="auto"/>
        <w:bottom w:val="none" w:sz="0" w:space="0" w:color="auto"/>
        <w:right w:val="none" w:sz="0" w:space="0" w:color="auto"/>
      </w:divBdr>
    </w:div>
    <w:div w:id="1473984310">
      <w:bodyDiv w:val="1"/>
      <w:marLeft w:val="0"/>
      <w:marRight w:val="0"/>
      <w:marTop w:val="0"/>
      <w:marBottom w:val="0"/>
      <w:divBdr>
        <w:top w:val="none" w:sz="0" w:space="0" w:color="auto"/>
        <w:left w:val="none" w:sz="0" w:space="0" w:color="auto"/>
        <w:bottom w:val="none" w:sz="0" w:space="0" w:color="auto"/>
        <w:right w:val="none" w:sz="0" w:space="0" w:color="auto"/>
      </w:divBdr>
      <w:divsChild>
        <w:div w:id="392389037">
          <w:marLeft w:val="0"/>
          <w:marRight w:val="0"/>
          <w:marTop w:val="0"/>
          <w:marBottom w:val="0"/>
          <w:divBdr>
            <w:top w:val="none" w:sz="0" w:space="0" w:color="auto"/>
            <w:left w:val="none" w:sz="0" w:space="0" w:color="auto"/>
            <w:bottom w:val="none" w:sz="0" w:space="0" w:color="auto"/>
            <w:right w:val="none" w:sz="0" w:space="0" w:color="auto"/>
          </w:divBdr>
          <w:divsChild>
            <w:div w:id="17110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dignityAllianceM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moore8743@charter.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usao-ma/pr/us-attorneys-office-hosts-fraud-and-abuse-prevention-seminars-seniors" TargetMode="External"/><Relationship Id="rId2" Type="http://schemas.openxmlformats.org/officeDocument/2006/relationships/hyperlink" Target="https://www.bostonglobe.com/2025/03/23/metro/lgbtq-gen-silent-nursing-home/" TargetMode="External"/><Relationship Id="rId1" Type="http://schemas.openxmlformats.org/officeDocument/2006/relationships/hyperlink" Target="https://www.mass.gov/news/healey-driscoll-administration-files-756-million-supplemental-budget-for-fiscal-year-2025" TargetMode="External"/><Relationship Id="rId6" Type="http://schemas.openxmlformats.org/officeDocument/2006/relationships/hyperlink" Target="https://pmc.ncbi.nlm.nih.gov/articles/PMC1955269/" TargetMode="External"/><Relationship Id="rId5" Type="http://schemas.openxmlformats.org/officeDocument/2006/relationships/hyperlink" Target="https://mcoaonline.org/the-heartbeat-of-community-uplifting-lives-through-council-on-aging-social-services/" TargetMode="External"/><Relationship Id="rId4" Type="http://schemas.openxmlformats.org/officeDocument/2006/relationships/hyperlink" Target="https://www.boston25news.com/news/local/report-massachusetts-seniors-lost-70-million-fraud-one-year/KAH5TNE47ZFX5AAPWBDCKJP3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B54CD7-A23B-487B-AB39-49203EA1373A}">
  <ds:schemaRefs>
    <ds:schemaRef ds:uri="http://schemas.openxmlformats.org/officeDocument/2006/bibliography"/>
  </ds:schemaRefs>
</ds:datastoreItem>
</file>

<file path=customXml/itemProps2.xml><?xml version="1.0" encoding="utf-8"?>
<ds:datastoreItem xmlns:ds="http://schemas.openxmlformats.org/officeDocument/2006/customXml" ds:itemID="{F37503CB-8582-4806-AA29-EFDB2036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19D9B-6770-4EA9-8F01-8940E99CDA22}">
  <ds:schemaRefs>
    <ds:schemaRef ds:uri="http://schemas.microsoft.com/sharepoint/v3/contenttype/forms"/>
  </ds:schemaRefs>
</ds:datastoreItem>
</file>

<file path=customXml/itemProps4.xml><?xml version="1.0" encoding="utf-8"?>
<ds:datastoreItem xmlns:ds="http://schemas.openxmlformats.org/officeDocument/2006/customXml" ds:itemID="{77374AC5-C412-472E-B27D-57E4F58B880B}">
  <ds:schemaRefs>
    <ds:schemaRef ds:uri="http://schemas.microsoft.com/sharepoint/v3"/>
    <ds:schemaRef ds:uri="http://purl.org/dc/elements/1.1/"/>
    <ds:schemaRef ds:uri="http://schemas.microsoft.com/office/infopath/2007/PartnerControls"/>
    <ds:schemaRef ds:uri="http://schemas.microsoft.com/office/2006/documentManagement/types"/>
    <ds:schemaRef ds:uri="http://purl.org/dc/terms/"/>
    <ds:schemaRef ds:uri="0bf13305-2ad3-47fc-b32f-9b4df29da98c"/>
    <ds:schemaRef ds:uri="http://purl.org/dc/dcmitype/"/>
    <ds:schemaRef ds:uri="e847d9e2-e67d-4e78-9623-607caff446f9"/>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Richard</dc:creator>
  <cp:keywords/>
  <dc:description/>
  <cp:lastModifiedBy>Fernandez, Julianna (HOU)</cp:lastModifiedBy>
  <cp:revision>2</cp:revision>
  <dcterms:created xsi:type="dcterms:W3CDTF">2025-04-14T14:12:00Z</dcterms:created>
  <dcterms:modified xsi:type="dcterms:W3CDTF">2025-04-14T14:12:00Z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