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1023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9li4aqmqoxa8" w:id="0"/>
            <w:bookmarkEnd w:id="0"/>
            <w:r w:rsidDel="00000000" w:rsidR="00000000" w:rsidRPr="00000000">
              <w:rPr>
                <w:rFonts w:ascii="Times New Roman" w:cs="Times New Roman" w:eastAsia="Times New Roman" w:hAnsi="Times New Roman"/>
                <w:sz w:val="24"/>
                <w:szCs w:val="24"/>
                <w:rtl w:val="0"/>
              </w:rPr>
              <w:t xml:space="preserve">An Act to establish a mattress recycling program in the Commonwealth</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Philips</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New file, no previous history</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Redrafted as H4810 and favorably reported to HWM where no further action was taken</w:t>
            </w:r>
            <w:r w:rsidDel="00000000" w:rsidR="00000000" w:rsidRPr="00000000">
              <w:rPr>
                <w:rtl w:val="0"/>
              </w:rPr>
            </w:r>
          </w:p>
        </w:tc>
      </w:tr>
      <w:tr>
        <w:trPr>
          <w:cantSplit w:val="0"/>
          <w:trHeight w:val="5072.02148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u w:val="single"/>
                <w:rtl w:val="0"/>
              </w:rPr>
              <w:t xml:space="preserve">SUMMARY</w:t>
            </w:r>
            <w:r w:rsidDel="00000000" w:rsidR="00000000" w:rsidRPr="00000000">
              <w:rPr>
                <w:rFonts w:ascii="Times New Roman" w:cs="Times New Roman" w:eastAsia="Times New Roman" w:hAnsi="Times New Roman"/>
                <w:color w:val="333333"/>
                <w:sz w:val="24"/>
                <w:szCs w:val="24"/>
                <w:highlight w:val="white"/>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requires mattress producers, renovators, and retailers in Massachusetts to join a mattress stewardship organization (SO). The SO must submit a plan for a statewide mattress stewardship program, subject to approval by DEP. The program must be implemented within seven months of DEP approval.</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program must provide free, convenient, and accessible statewide mattress collection services. It must establish collection sites and storage containers throughout the state, including rural and underserved areas, and handle transportation and recycling of mattresses. Bulk pickup for at least 100 mattresses must be offered at no cost to government entities, institutions, and hospitality businesses.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DEP approved plans are valid for five years. Each plan must identify program mattresses, outline how non-program items will be handled, list participating entities, and ensure no-charge collection. It must also detail a two-year operating budget, fee structure, illegal dumping cost mitigation, and coordination with existing recycling efforts. Public access to drop-off sites and collection events must be addressed.</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Two years after implementation, the SO must update its plan to include collection and recycling goals, a public education strategy, and a closure plan in case the SO dissolves.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Each year by July 1, the SO must submit an annual report to DEP that includes updated budgets, financial performance, recycling and dumping data, and any recommended program changes. A flat rate recycling fee, approved by DEP, must be included in mattress prices and budgeted annually.</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legislation also mandates that DEP form a 10-member Mattress Stewardship Advisory Committee to review plans and reports. Additionally, it establishes a Mattress Stewardship Fund, funded by fees from stewardship organizations, to support enforcement and administration of the program.</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