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1036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0"/>
            <w:bookmarkEnd w:id="0"/>
            <w:r w:rsidDel="00000000" w:rsidR="00000000" w:rsidRPr="00000000">
              <w:rPr>
                <w:rFonts w:ascii="Times New Roman" w:cs="Times New Roman" w:eastAsia="Times New Roman" w:hAnsi="Times New Roman"/>
                <w:sz w:val="24"/>
                <w:szCs w:val="24"/>
                <w:rtl w:val="0"/>
              </w:rPr>
              <w:t xml:space="preserve">An Act to incentivize the reduction of residential waste disposal</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Rogers</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8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H858; Reported to study by ENRA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H997; Reported to a study by ENRA</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H888: Accompanied a study order, H4668.</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provides for the commissioner of DEP to establish performance standards for the reduction of residential municipal solid waste, to be promulgated by July 1, 2023, to achieve the purposes of the Solid Waste Master Plan, protect the environment, and accomplish a number of other sustainability goals.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 shall establish performance standards for the mandatory reporting of residential municipal solid waste. Municipalities shall report all required waste data annually to DEP.  Municipalities that dispose of 500 pounds per capita of waste per year shall be required to adopt a cost saving waste reduction program.  </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a municipality does not meet the reporting or implementation standards, the municipality must submit a report to DEP explaining the reasons for not doing so.  DEP shall issue an annual report on per capita solid waste disposal statistics for the municipal solid waste programs that is to be filed with the legislature.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DEP determines that municipalities have not reduced residential waste per capita to less than 500 pounds per person, DEP shall be empowered to promulgate regulations for a statewide waste reduction program to incentivize municipalities towards that goal.</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