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1038</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26n5dg9ish0n" w:id="0"/>
            <w:bookmarkEnd w:id="0"/>
            <w:r w:rsidDel="00000000" w:rsidR="00000000" w:rsidRPr="00000000">
              <w:rPr>
                <w:rFonts w:ascii="Times New Roman" w:cs="Times New Roman" w:eastAsia="Times New Roman" w:hAnsi="Times New Roman"/>
                <w:sz w:val="24"/>
                <w:szCs w:val="24"/>
                <w:rtl w:val="0"/>
              </w:rPr>
              <w:t xml:space="preserve">An Act relative to enhancing circularity in recycling</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Roy</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83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H858; Reported to study by ENRA  </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H997; Reported to a study by ENRA</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H893; Reported favorably by ENR and referred to HWM where no further action was taken</w:t>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tl w:val="0"/>
              </w:rPr>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bill amends MGL to include Chapter 94J mandating a minimum post-consumer recycled content standard for varieties of packaging materials used and sold in the Commonwealth, following a phased schedule. It applies to rigid plastic containers, plastic beverage containers, glass containers, paper and plastic carryout bags, and plastic trash bags.</w:t>
            </w:r>
          </w:p>
          <w:p w:rsidR="00000000" w:rsidDel="00000000" w:rsidP="00000000" w:rsidRDefault="00000000" w:rsidRPr="00000000" w14:paraId="00000012">
            <w:pPr>
              <w:numPr>
                <w:ilvl w:val="0"/>
                <w:numId w:val="1"/>
              </w:numPr>
              <w:spacing w:after="0" w:afterAutospacing="0" w:before="240" w:line="36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Rigid plastic containers must include at least 10% post-consumer recycled content within two years of enactment. This requirement increases by 10% every three years, reaching a maximum of 50%.</w:t>
            </w:r>
          </w:p>
          <w:p w:rsidR="00000000" w:rsidDel="00000000" w:rsidP="00000000" w:rsidRDefault="00000000" w:rsidRPr="00000000" w14:paraId="00000013">
            <w:pPr>
              <w:numPr>
                <w:ilvl w:val="0"/>
                <w:numId w:val="1"/>
              </w:numPr>
              <w:spacing w:after="0" w:afterAutospacing="0" w:before="0" w:beforeAutospacing="0" w:line="36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Plastic beverage containers must contain at least 15% recycled content within two years. The percentage rises by 5% every three years until it hits 50%, though containers that use hot-fill processes are capped at 30%.</w:t>
            </w:r>
          </w:p>
          <w:p w:rsidR="00000000" w:rsidDel="00000000" w:rsidP="00000000" w:rsidRDefault="00000000" w:rsidRPr="00000000" w14:paraId="00000014">
            <w:pPr>
              <w:numPr>
                <w:ilvl w:val="0"/>
                <w:numId w:val="1"/>
              </w:numPr>
              <w:spacing w:after="0" w:afterAutospacing="0" w:before="0" w:beforeAutospacing="0" w:line="36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Glass containers must reach 35% recycled content within two years. However, if at least 50% of the recycled material is mixed-color cullet, the requirement is reduced to 25%.</w:t>
            </w:r>
          </w:p>
          <w:p w:rsidR="00000000" w:rsidDel="00000000" w:rsidP="00000000" w:rsidRDefault="00000000" w:rsidRPr="00000000" w14:paraId="00000015">
            <w:pPr>
              <w:numPr>
                <w:ilvl w:val="0"/>
                <w:numId w:val="1"/>
              </w:numPr>
              <w:spacing w:after="0" w:afterAutospacing="0" w:before="0" w:beforeAutospacing="0" w:line="36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Paper carryout bags must include 40% recycled content within two years, with smaller bags (holding 8 pounds or less) only needing 20%.</w:t>
            </w:r>
          </w:p>
          <w:p w:rsidR="00000000" w:rsidDel="00000000" w:rsidP="00000000" w:rsidRDefault="00000000" w:rsidRPr="00000000" w14:paraId="00000016">
            <w:pPr>
              <w:numPr>
                <w:ilvl w:val="0"/>
                <w:numId w:val="1"/>
              </w:numPr>
              <w:spacing w:after="0" w:afterAutospacing="0" w:before="0" w:beforeAutospacing="0" w:line="36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Plastic carryout bags must have 20% recycled content two years post-enactment and increase to 40% by the fifth year.</w:t>
            </w:r>
          </w:p>
          <w:p w:rsidR="00000000" w:rsidDel="00000000" w:rsidP="00000000" w:rsidRDefault="00000000" w:rsidRPr="00000000" w14:paraId="00000017">
            <w:pPr>
              <w:numPr>
                <w:ilvl w:val="0"/>
                <w:numId w:val="1"/>
              </w:numPr>
              <w:spacing w:after="240" w:before="0" w:beforeAutospacing="0" w:line="36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Plastic trash bags have tiered requirements based on thickness. Within two years, bags must contain between 5% and 20% recycled content, depending on thickness. These rates double by the fifth year, ranging from 10% to 40%.</w:t>
            </w:r>
          </w:p>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Starting two years after the enactment of this bill, producers must register annually with the DEP and pay a $5,000 fee, which supports the Recycling Enhancement Fund. They must also keep records of compliance and may face penalties for violations, including fines, enforcement actions, and mandatory corrective plans. DEP is responsible for regulation and enforcement of the legislation.</w:t>
            </w:r>
            <w:r w:rsidDel="00000000" w:rsidR="00000000" w:rsidRPr="00000000">
              <w:rPr>
                <w:rtl w:val="0"/>
              </w:rPr>
            </w:r>
          </w:p>
        </w:tc>
      </w:tr>
    </w:tbl>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