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1038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26n5dg9ish0n" w:id="0"/>
            <w:bookmarkEnd w:id="0"/>
            <w:r w:rsidDel="00000000" w:rsidR="00000000" w:rsidRPr="00000000">
              <w:rPr>
                <w:rFonts w:ascii="Times New Roman" w:cs="Times New Roman" w:eastAsia="Times New Roman" w:hAnsi="Times New Roman"/>
                <w:sz w:val="24"/>
                <w:szCs w:val="24"/>
                <w:rtl w:val="0"/>
              </w:rPr>
              <w:t xml:space="preserve">An Act relative to enhancing circularity in recycling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Roy</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8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H858; Reported to study by ENRA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H997; Reported to a study by ENRA</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H893; Reported favorably by ENR and referred to HWM where no further action was taken</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bill amends MGL to include Chapter 94J mandating a minimum post-consumer recycled content standard for varieties of packaging materials used and sold in the Commonwealth, following a phased schedule. It applies to rigid plastic containers, plastic beverage containers, glass containers, paper and plastic carryout bags, and plastic trash bags.</w:t>
            </w:r>
          </w:p>
          <w:p w:rsidR="00000000" w:rsidDel="00000000" w:rsidP="00000000" w:rsidRDefault="00000000" w:rsidRPr="00000000" w14:paraId="00000012">
            <w:pPr>
              <w:numPr>
                <w:ilvl w:val="0"/>
                <w:numId w:val="1"/>
              </w:numPr>
              <w:spacing w:after="0" w:afterAutospacing="0" w:before="24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Rigid plastic containers must include at least 10% post-consumer recycled content within two years of enactment. This requirement increases by 10% every three years, reaching a maximum of 50%.</w:t>
            </w:r>
          </w:p>
          <w:p w:rsidR="00000000" w:rsidDel="00000000" w:rsidP="00000000" w:rsidRDefault="00000000" w:rsidRPr="00000000" w14:paraId="0000001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Plastic beverage containers must contain at least 15% recycled content within two years. The percentage rises by 5% every three years until it hits 50%, though containers that use hot-fill processes are capped at 30%.</w:t>
            </w:r>
          </w:p>
          <w:p w:rsidR="00000000" w:rsidDel="00000000" w:rsidP="00000000" w:rsidRDefault="00000000" w:rsidRPr="00000000" w14:paraId="0000001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Glass containers must reach 35% recycled content within two years. However, if at least 50% of the recycled material is mixed-color cullet, the requirement is reduced to 25%.</w:t>
            </w:r>
          </w:p>
          <w:p w:rsidR="00000000" w:rsidDel="00000000" w:rsidP="00000000" w:rsidRDefault="00000000" w:rsidRPr="00000000" w14:paraId="00000015">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Paper carryout bags must include 40% recycled content within two years, with smaller bags (holding 8 pounds or less) only needing 20%.</w:t>
            </w:r>
          </w:p>
          <w:p w:rsidR="00000000" w:rsidDel="00000000" w:rsidP="00000000" w:rsidRDefault="00000000" w:rsidRPr="00000000" w14:paraId="00000016">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Plastic carryout bags must have 20% recycled content two years post-enactment and increase to 40% by the fifth year.</w:t>
            </w:r>
          </w:p>
          <w:p w:rsidR="00000000" w:rsidDel="00000000" w:rsidP="00000000" w:rsidRDefault="00000000" w:rsidRPr="00000000" w14:paraId="00000017">
            <w:pPr>
              <w:numPr>
                <w:ilvl w:val="0"/>
                <w:numId w:val="1"/>
              </w:numPr>
              <w:spacing w:after="240" w:before="0" w:beforeAutospacing="0" w:line="36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Plastic trash bags have tiered requirements based on thickness. Within two years, bags must contain between 5% and 20% recycled content, depending on thickness. These rates double by the fifth year, ranging from 10% to 40%.</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Starting two years after the enactment of this bill, producers must register annually with the DEP and pay a $5,000 fee, which supports the Recycling Enhancement Fund. They must also keep records of compliance and may face penalties for violations, including fines, enforcement actions, and mandatory corrective plans. DEP is responsible for regulation and enforcement of the legislation.</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