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F116" w14:textId="77777777" w:rsidR="0056004A" w:rsidRPr="00064A9C" w:rsidRDefault="0056004A" w:rsidP="0056004A">
      <w:pPr>
        <w:jc w:val="center"/>
        <w:rPr>
          <w:rFonts w:ascii="Times New Roman" w:hAnsi="Times New Roman" w:cs="Times New Roman"/>
          <w:b/>
          <w:bCs/>
        </w:rPr>
      </w:pPr>
      <w:r w:rsidRPr="00064A9C">
        <w:rPr>
          <w:rFonts w:ascii="Times New Roman" w:hAnsi="Times New Roman" w:cs="Times New Roman"/>
          <w:b/>
          <w:bCs/>
        </w:rPr>
        <w:t>Joint Committee on Higher Education</w:t>
      </w:r>
    </w:p>
    <w:p w14:paraId="4720CC15" w14:textId="77777777" w:rsidR="0056004A" w:rsidRPr="00064A9C" w:rsidRDefault="0056004A" w:rsidP="0056004A">
      <w:pPr>
        <w:jc w:val="center"/>
        <w:rPr>
          <w:rFonts w:ascii="Times New Roman" w:hAnsi="Times New Roman" w:cs="Times New Roman"/>
          <w:b/>
          <w:bCs/>
        </w:rPr>
      </w:pPr>
      <w:r w:rsidRPr="00064A9C">
        <w:rPr>
          <w:rFonts w:ascii="Times New Roman" w:hAnsi="Times New Roman" w:cs="Times New Roman"/>
          <w:b/>
          <w:bCs/>
        </w:rPr>
        <w:t>Bill Summary</w:t>
      </w:r>
    </w:p>
    <w:p w14:paraId="13249C45" w14:textId="19554285" w:rsidR="0056004A" w:rsidRPr="009438A8" w:rsidRDefault="0056004A" w:rsidP="009438A8">
      <w:pPr>
        <w:jc w:val="center"/>
        <w:rPr>
          <w:rFonts w:ascii="Times New Roman" w:hAnsi="Times New Roman" w:cs="Times New Roman"/>
          <w:b/>
          <w:bCs/>
        </w:rPr>
      </w:pPr>
      <w:r w:rsidRPr="00064A9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82FEF99" wp14:editId="2207A536">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6688A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2618CD19" w14:textId="77777777" w:rsidR="0048690A" w:rsidRPr="00B14A49" w:rsidRDefault="0048690A" w:rsidP="0048690A">
      <w:pPr>
        <w:pStyle w:val="NormalWeb"/>
        <w:spacing w:before="0" w:beforeAutospacing="0" w:after="160" w:afterAutospacing="0"/>
      </w:pPr>
      <w:r w:rsidRPr="00B14A49">
        <w:rPr>
          <w:b/>
          <w:bCs/>
          <w:color w:val="000000"/>
          <w:u w:val="single"/>
        </w:rPr>
        <w:t>BILL NUMBER:</w:t>
      </w:r>
      <w:r w:rsidRPr="00B14A49">
        <w:rPr>
          <w:color w:val="000000"/>
        </w:rPr>
        <w:t> House, No. 1429</w:t>
      </w:r>
    </w:p>
    <w:p w14:paraId="208109C2" w14:textId="77777777" w:rsidR="0048690A" w:rsidRPr="00B14A49" w:rsidRDefault="0048690A" w:rsidP="0048690A">
      <w:pPr>
        <w:pStyle w:val="NormalWeb"/>
        <w:spacing w:before="0" w:beforeAutospacing="0" w:after="160" w:afterAutospacing="0"/>
      </w:pPr>
      <w:r w:rsidRPr="00B14A49">
        <w:rPr>
          <w:b/>
          <w:bCs/>
          <w:color w:val="000000"/>
          <w:u w:val="single"/>
        </w:rPr>
        <w:t>TITLE:</w:t>
      </w:r>
      <w:r w:rsidRPr="00B14A49">
        <w:rPr>
          <w:color w:val="000000"/>
        </w:rPr>
        <w:t xml:space="preserve"> An Act promoting an adjunct bill of rights </w:t>
      </w:r>
    </w:p>
    <w:p w14:paraId="11600A82" w14:textId="77777777" w:rsidR="0048690A" w:rsidRPr="00B14A49" w:rsidRDefault="0048690A" w:rsidP="0048690A">
      <w:pPr>
        <w:pStyle w:val="NormalWeb"/>
        <w:spacing w:before="0" w:beforeAutospacing="0" w:after="160" w:afterAutospacing="0"/>
      </w:pPr>
      <w:r w:rsidRPr="00B14A49">
        <w:rPr>
          <w:b/>
          <w:bCs/>
          <w:color w:val="000000"/>
          <w:u w:val="single"/>
        </w:rPr>
        <w:t>SPONSORS:</w:t>
      </w:r>
      <w:r w:rsidRPr="00B14A49">
        <w:rPr>
          <w:color w:val="000000"/>
        </w:rPr>
        <w:t xml:space="preserve"> Rep. Patricia Duffy (Holyoke) and Rep. Sean Garballey (Arlington)</w:t>
      </w:r>
    </w:p>
    <w:p w14:paraId="2C7FC517" w14:textId="77777777" w:rsidR="0048690A" w:rsidRPr="00B14A49" w:rsidRDefault="0048690A" w:rsidP="0048690A">
      <w:pPr>
        <w:pStyle w:val="NormalWeb"/>
        <w:spacing w:before="0" w:beforeAutospacing="0" w:after="160" w:afterAutospacing="0"/>
      </w:pPr>
      <w:r w:rsidRPr="00B14A49">
        <w:rPr>
          <w:b/>
          <w:bCs/>
          <w:color w:val="000000"/>
          <w:u w:val="single"/>
        </w:rPr>
        <w:t>SIMILAR MATTERS:</w:t>
      </w:r>
      <w:r w:rsidRPr="00B14A49">
        <w:rPr>
          <w:color w:val="000000"/>
        </w:rPr>
        <w:t xml:space="preserve"> S.940 (Sen. Paul Mark)</w:t>
      </w:r>
    </w:p>
    <w:p w14:paraId="3CB8CF1C" w14:textId="77777777" w:rsidR="0048690A" w:rsidRPr="00B14A49" w:rsidRDefault="0048690A" w:rsidP="0048690A">
      <w:pPr>
        <w:pStyle w:val="NormalWeb"/>
        <w:spacing w:before="0" w:beforeAutospacing="0" w:after="160" w:afterAutospacing="0"/>
      </w:pPr>
      <w:r w:rsidRPr="00B14A49">
        <w:rPr>
          <w:b/>
          <w:bCs/>
          <w:color w:val="000000"/>
          <w:u w:val="single"/>
        </w:rPr>
        <w:t>HEARING DATE:</w:t>
      </w:r>
      <w:r w:rsidRPr="00B14A49">
        <w:rPr>
          <w:color w:val="000000"/>
        </w:rPr>
        <w:t xml:space="preserve"> September 11, 2025</w:t>
      </w:r>
    </w:p>
    <w:p w14:paraId="18EE3127" w14:textId="77777777" w:rsidR="0048690A" w:rsidRPr="00B14A49" w:rsidRDefault="0048690A" w:rsidP="0048690A">
      <w:pPr>
        <w:pStyle w:val="NormalWeb"/>
        <w:spacing w:before="0" w:beforeAutospacing="0" w:after="160" w:afterAutospacing="0"/>
      </w:pPr>
      <w:r w:rsidRPr="00B14A49">
        <w:rPr>
          <w:b/>
          <w:bCs/>
          <w:color w:val="000000"/>
          <w:u w:val="single"/>
        </w:rPr>
        <w:t>REPORTING DEADLINE:</w:t>
      </w:r>
      <w:r w:rsidRPr="00B14A49">
        <w:rPr>
          <w:color w:val="000000"/>
        </w:rPr>
        <w:t xml:space="preserve"> November 10, 2025</w:t>
      </w:r>
    </w:p>
    <w:p w14:paraId="04E05FB1" w14:textId="77777777" w:rsidR="0048690A" w:rsidRPr="00B14A49" w:rsidRDefault="0048690A" w:rsidP="0048690A">
      <w:pPr>
        <w:pStyle w:val="NormalWeb"/>
        <w:spacing w:before="0" w:beforeAutospacing="0" w:after="160" w:afterAutospacing="0"/>
      </w:pPr>
      <w:r w:rsidRPr="00B14A49">
        <w:rPr>
          <w:b/>
          <w:bCs/>
          <w:color w:val="000000"/>
          <w:u w:val="single"/>
        </w:rPr>
        <w:t>PRIOR HISTORY:</w:t>
      </w:r>
      <w:r w:rsidRPr="00B14A49">
        <w:rPr>
          <w:color w:val="000000"/>
        </w:rPr>
        <w:t xml:space="preserve"> New file</w:t>
      </w:r>
    </w:p>
    <w:p w14:paraId="2EC3B775" w14:textId="77777777" w:rsidR="0048690A" w:rsidRPr="00B14A49" w:rsidRDefault="0048690A" w:rsidP="0048690A">
      <w:pPr>
        <w:pStyle w:val="NormalWeb"/>
        <w:spacing w:before="0" w:beforeAutospacing="0" w:after="160" w:afterAutospacing="0"/>
      </w:pPr>
      <w:r w:rsidRPr="00B14A49">
        <w:rPr>
          <w:b/>
          <w:bCs/>
          <w:color w:val="000000"/>
          <w:u w:val="single"/>
        </w:rPr>
        <w:t>CURRENT LAW:</w:t>
      </w:r>
    </w:p>
    <w:p w14:paraId="2561D926" w14:textId="77777777" w:rsidR="0048690A" w:rsidRPr="00B14A49" w:rsidRDefault="0048690A" w:rsidP="0048690A">
      <w:pPr>
        <w:pStyle w:val="NormalWeb"/>
        <w:spacing w:before="0" w:beforeAutospacing="0" w:after="160" w:afterAutospacing="0"/>
      </w:pPr>
      <w:r w:rsidRPr="00B14A49">
        <w:rPr>
          <w:i/>
          <w:iCs/>
          <w:color w:val="000000"/>
        </w:rPr>
        <w:t>M.G.L. c. 32 – Retirement Systems and Pensions:</w:t>
      </w:r>
    </w:p>
    <w:p w14:paraId="35D451E2" w14:textId="77777777" w:rsidR="0048690A" w:rsidRPr="00B14A49" w:rsidRDefault="0048690A" w:rsidP="0048690A">
      <w:pPr>
        <w:pStyle w:val="NormalWeb"/>
        <w:spacing w:before="0" w:beforeAutospacing="0" w:after="160" w:afterAutospacing="0"/>
      </w:pPr>
      <w:r w:rsidRPr="00B14A49">
        <w:rPr>
          <w:i/>
          <w:iCs/>
          <w:color w:val="000000"/>
        </w:rPr>
        <w:t xml:space="preserve">M.G.L. c. 32, § 1 </w:t>
      </w:r>
      <w:r w:rsidRPr="00B14A49">
        <w:rPr>
          <w:color w:val="000000"/>
        </w:rPr>
        <w:t xml:space="preserve">– </w:t>
      </w:r>
      <w:r w:rsidRPr="00B14A49">
        <w:rPr>
          <w:i/>
          <w:iCs/>
          <w:color w:val="000000"/>
        </w:rPr>
        <w:t>Definitions</w:t>
      </w:r>
    </w:p>
    <w:p w14:paraId="2D562518" w14:textId="77777777" w:rsidR="0048690A" w:rsidRPr="00B14A49" w:rsidRDefault="0048690A" w:rsidP="0048690A">
      <w:pPr>
        <w:pStyle w:val="NormalWeb"/>
        <w:spacing w:before="0" w:beforeAutospacing="0" w:after="160" w:afterAutospacing="0"/>
      </w:pPr>
      <w:r w:rsidRPr="00B14A49">
        <w:rPr>
          <w:i/>
          <w:iCs/>
          <w:color w:val="000000"/>
        </w:rPr>
        <w:t>M.G.L. c. 32, § 3(2)</w:t>
      </w:r>
      <w:r w:rsidRPr="00B14A49">
        <w:rPr>
          <w:color w:val="000000"/>
        </w:rPr>
        <w:t xml:space="preserve"> – </w:t>
      </w:r>
      <w:r w:rsidRPr="00B14A49">
        <w:rPr>
          <w:i/>
          <w:iCs/>
          <w:color w:val="000000"/>
        </w:rPr>
        <w:t xml:space="preserve">Membership Eligibility: </w:t>
      </w:r>
      <w:r w:rsidRPr="00B14A49">
        <w:rPr>
          <w:color w:val="000000"/>
        </w:rPr>
        <w:t>defines who must or may become members of a Massachusetts public retirement system and under what conditions. </w:t>
      </w:r>
    </w:p>
    <w:p w14:paraId="5CD9C2F6" w14:textId="77777777" w:rsidR="0048690A" w:rsidRPr="00B14A49" w:rsidRDefault="0048690A" w:rsidP="0048690A">
      <w:pPr>
        <w:pStyle w:val="NormalWeb"/>
        <w:spacing w:before="0" w:beforeAutospacing="0" w:after="160" w:afterAutospacing="0"/>
      </w:pPr>
      <w:r w:rsidRPr="00B14A49">
        <w:rPr>
          <w:i/>
          <w:iCs/>
          <w:color w:val="000000"/>
        </w:rPr>
        <w:t>M.G.L. c. 32, § 4(2)</w:t>
      </w:r>
      <w:r w:rsidRPr="00B14A49">
        <w:rPr>
          <w:color w:val="000000"/>
        </w:rPr>
        <w:t xml:space="preserve"> –</w:t>
      </w:r>
      <w:r w:rsidRPr="00B14A49">
        <w:rPr>
          <w:i/>
          <w:iCs/>
          <w:color w:val="000000"/>
        </w:rPr>
        <w:t xml:space="preserve"> Filing and Verification of Statements of Service: </w:t>
      </w:r>
      <w:r w:rsidRPr="00B14A49">
        <w:rPr>
          <w:color w:val="000000"/>
        </w:rPr>
        <w:t>defines what counts as “creditable service” in the retirement system, including the years and time periods that can be used to calculate pension eligibility and benefits.</w:t>
      </w:r>
    </w:p>
    <w:p w14:paraId="29194EE1" w14:textId="77777777" w:rsidR="0048690A" w:rsidRPr="00B14A49" w:rsidRDefault="0048690A" w:rsidP="0048690A">
      <w:pPr>
        <w:pStyle w:val="NormalWeb"/>
        <w:spacing w:before="0" w:beforeAutospacing="0" w:after="160" w:afterAutospacing="0"/>
      </w:pPr>
      <w:r w:rsidRPr="00B14A49">
        <w:rPr>
          <w:i/>
          <w:iCs/>
          <w:color w:val="000000"/>
        </w:rPr>
        <w:t xml:space="preserve">M.G.L. c. 32A, § 2 </w:t>
      </w:r>
      <w:r w:rsidRPr="00B14A49">
        <w:rPr>
          <w:color w:val="000000"/>
        </w:rPr>
        <w:t xml:space="preserve">– </w:t>
      </w:r>
      <w:r w:rsidRPr="00B14A49">
        <w:rPr>
          <w:i/>
          <w:iCs/>
          <w:color w:val="000000"/>
        </w:rPr>
        <w:t>Definitions</w:t>
      </w:r>
    </w:p>
    <w:p w14:paraId="4AF3DCB6" w14:textId="77777777" w:rsidR="0048690A" w:rsidRPr="00B14A49" w:rsidRDefault="0048690A" w:rsidP="0048690A">
      <w:pPr>
        <w:pStyle w:val="NormalWeb"/>
        <w:spacing w:before="0" w:beforeAutospacing="0" w:after="160" w:afterAutospacing="0"/>
      </w:pPr>
      <w:r w:rsidRPr="00B14A49">
        <w:rPr>
          <w:b/>
          <w:bCs/>
          <w:color w:val="000000"/>
          <w:u w:val="single"/>
        </w:rPr>
        <w:t>SUMMARY:</w:t>
      </w:r>
    </w:p>
    <w:p w14:paraId="08671D32" w14:textId="77777777" w:rsidR="0048690A" w:rsidRPr="00B14A49" w:rsidRDefault="0048690A" w:rsidP="0048690A">
      <w:pPr>
        <w:pStyle w:val="NormalWeb"/>
        <w:spacing w:before="0" w:beforeAutospacing="0" w:after="160" w:afterAutospacing="0"/>
      </w:pPr>
      <w:r w:rsidRPr="00B14A49">
        <w:rPr>
          <w:color w:val="000000"/>
        </w:rPr>
        <w:t xml:space="preserve">This bill establishes </w:t>
      </w:r>
      <w:r>
        <w:rPr>
          <w:color w:val="000000"/>
        </w:rPr>
        <w:t xml:space="preserve">the </w:t>
      </w:r>
      <w:r w:rsidRPr="001144D9">
        <w:rPr>
          <w:color w:val="000000"/>
        </w:rPr>
        <w:t>Faculty Restoration and Equity</w:t>
      </w:r>
      <w:r w:rsidRPr="00B14A49">
        <w:rPr>
          <w:color w:val="000000"/>
        </w:rPr>
        <w:t xml:space="preserve"> fund to ensure that at least 75% of undergraduate courses are taught by full-time faculty, 75% of support and professional staff are full-time, and part-time/non-tenure track faculty receive comparable pay and benefits. Funding priority will be given to institutions with more part-time and non-tenure track faculty.</w:t>
      </w:r>
    </w:p>
    <w:p w14:paraId="76D7A9EE" w14:textId="77777777" w:rsidR="0048690A" w:rsidRPr="00B14A49" w:rsidRDefault="0048690A" w:rsidP="0048690A">
      <w:pPr>
        <w:pStyle w:val="NormalWeb"/>
        <w:spacing w:before="0" w:beforeAutospacing="0" w:after="160" w:afterAutospacing="0"/>
      </w:pPr>
      <w:r w:rsidRPr="00B14A49">
        <w:rPr>
          <w:color w:val="000000"/>
        </w:rPr>
        <w:t>Part-time and adjunct faculty will be eligible for the state employee’s retirement system, earn creditable service, and have their salaries included for retirement deductions. It also specifies how service credit is earned based on courses taught and allows for credit for previous service.</w:t>
      </w:r>
    </w:p>
    <w:p w14:paraId="4A9EF417" w14:textId="77777777" w:rsidR="0048690A" w:rsidRPr="00B14A49" w:rsidRDefault="0048690A" w:rsidP="0048690A">
      <w:pPr>
        <w:pStyle w:val="NormalWeb"/>
        <w:spacing w:before="0" w:beforeAutospacing="0" w:after="160" w:afterAutospacing="0"/>
      </w:pPr>
      <w:r w:rsidRPr="00B14A49">
        <w:rPr>
          <w:color w:val="000000"/>
        </w:rPr>
        <w:t>The state employee's retirement system is required to contribute 7.5% of each employee's regular compensation, and mandates that part-time and adjunct faculty receive pay proportional to full-time, non-tenure track faculty doing comparable work. Public institutions of higher education will be required to establish processes for timely notice and priority consideration for part-time/non-tenure track teaching assignments, and for qualified non-tenure track faculty to receive fair consideration for open tenure track positions, including accumulating seniority, notification of openings, and interviews. These are subject to collective bargaining agreements.</w:t>
      </w:r>
    </w:p>
    <w:p w14:paraId="635812DF" w14:textId="77777777" w:rsidR="0048690A" w:rsidRPr="00064A9C" w:rsidRDefault="0048690A" w:rsidP="0048690A">
      <w:pPr>
        <w:pStyle w:val="NormalWeb"/>
        <w:spacing w:before="0" w:beforeAutospacing="0" w:after="160" w:afterAutospacing="0"/>
      </w:pPr>
    </w:p>
    <w:sectPr w:rsidR="0048690A" w:rsidRPr="00064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7DB4"/>
    <w:multiLevelType w:val="multilevel"/>
    <w:tmpl w:val="4F02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01F75"/>
    <w:multiLevelType w:val="hybridMultilevel"/>
    <w:tmpl w:val="17B2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225480">
    <w:abstractNumId w:val="1"/>
  </w:num>
  <w:num w:numId="2" w16cid:durableId="181568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4A"/>
    <w:rsid w:val="00032CEF"/>
    <w:rsid w:val="00034D06"/>
    <w:rsid w:val="00035FA3"/>
    <w:rsid w:val="00064A9C"/>
    <w:rsid w:val="00067357"/>
    <w:rsid w:val="00091057"/>
    <w:rsid w:val="000971A7"/>
    <w:rsid w:val="000C6861"/>
    <w:rsid w:val="000E5987"/>
    <w:rsid w:val="00126314"/>
    <w:rsid w:val="0012767B"/>
    <w:rsid w:val="001404A8"/>
    <w:rsid w:val="00152C8B"/>
    <w:rsid w:val="00157DE7"/>
    <w:rsid w:val="001A707A"/>
    <w:rsid w:val="001B55A6"/>
    <w:rsid w:val="001C4E85"/>
    <w:rsid w:val="001E46E2"/>
    <w:rsid w:val="002047B7"/>
    <w:rsid w:val="002442D7"/>
    <w:rsid w:val="00267A8D"/>
    <w:rsid w:val="00282EB9"/>
    <w:rsid w:val="002A1D96"/>
    <w:rsid w:val="00322F5F"/>
    <w:rsid w:val="003673D3"/>
    <w:rsid w:val="00465BFF"/>
    <w:rsid w:val="0048690A"/>
    <w:rsid w:val="004A07D9"/>
    <w:rsid w:val="00522BE7"/>
    <w:rsid w:val="0053407A"/>
    <w:rsid w:val="005450D6"/>
    <w:rsid w:val="0056004A"/>
    <w:rsid w:val="00565E6C"/>
    <w:rsid w:val="0058239E"/>
    <w:rsid w:val="005D61A9"/>
    <w:rsid w:val="005F1C98"/>
    <w:rsid w:val="00686346"/>
    <w:rsid w:val="006C2E39"/>
    <w:rsid w:val="006D3B4C"/>
    <w:rsid w:val="00712BF5"/>
    <w:rsid w:val="0072127B"/>
    <w:rsid w:val="0076500F"/>
    <w:rsid w:val="007B3211"/>
    <w:rsid w:val="007C7978"/>
    <w:rsid w:val="007F0C03"/>
    <w:rsid w:val="008025B9"/>
    <w:rsid w:val="00861CF0"/>
    <w:rsid w:val="00886D9C"/>
    <w:rsid w:val="008E4794"/>
    <w:rsid w:val="00920796"/>
    <w:rsid w:val="009438A8"/>
    <w:rsid w:val="00965B12"/>
    <w:rsid w:val="009B5E84"/>
    <w:rsid w:val="009E38FE"/>
    <w:rsid w:val="009E4208"/>
    <w:rsid w:val="00A047E1"/>
    <w:rsid w:val="00AB2B20"/>
    <w:rsid w:val="00AE5BD6"/>
    <w:rsid w:val="00AF3500"/>
    <w:rsid w:val="00AF5C26"/>
    <w:rsid w:val="00B16ED3"/>
    <w:rsid w:val="00B34CF5"/>
    <w:rsid w:val="00B63D5D"/>
    <w:rsid w:val="00BE7BD3"/>
    <w:rsid w:val="00C02DF4"/>
    <w:rsid w:val="00C0763F"/>
    <w:rsid w:val="00C857CF"/>
    <w:rsid w:val="00CA21EA"/>
    <w:rsid w:val="00CB6A08"/>
    <w:rsid w:val="00CF14F2"/>
    <w:rsid w:val="00DB185D"/>
    <w:rsid w:val="00DD0EA5"/>
    <w:rsid w:val="00DE7471"/>
    <w:rsid w:val="00E07C67"/>
    <w:rsid w:val="00E36004"/>
    <w:rsid w:val="00E43BCA"/>
    <w:rsid w:val="00E56F70"/>
    <w:rsid w:val="00E6031A"/>
    <w:rsid w:val="00E7465D"/>
    <w:rsid w:val="00F4709C"/>
    <w:rsid w:val="00F71577"/>
    <w:rsid w:val="00F74EFB"/>
    <w:rsid w:val="00FB23AA"/>
    <w:rsid w:val="00FC3A0B"/>
    <w:rsid w:val="05B2DD57"/>
    <w:rsid w:val="084D72F8"/>
    <w:rsid w:val="11B37A41"/>
    <w:rsid w:val="169F4AB3"/>
    <w:rsid w:val="1E380033"/>
    <w:rsid w:val="2BEC7225"/>
    <w:rsid w:val="3ECA79AA"/>
    <w:rsid w:val="4162119E"/>
    <w:rsid w:val="4C65BEC7"/>
    <w:rsid w:val="4D9C08B9"/>
    <w:rsid w:val="5AAA22C8"/>
    <w:rsid w:val="5DDAD7D9"/>
    <w:rsid w:val="5FD4595E"/>
    <w:rsid w:val="5FEB081E"/>
    <w:rsid w:val="603AC27E"/>
    <w:rsid w:val="64C47133"/>
    <w:rsid w:val="701D0AF9"/>
    <w:rsid w:val="78FB80AF"/>
    <w:rsid w:val="7CEAF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D8CA"/>
  <w15:chartTrackingRefBased/>
  <w15:docId w15:val="{13B15DC9-E8BE-4580-AC1D-4823C5E1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04A"/>
  </w:style>
  <w:style w:type="paragraph" w:styleId="Heading1">
    <w:name w:val="heading 1"/>
    <w:basedOn w:val="Normal"/>
    <w:next w:val="Normal"/>
    <w:link w:val="Heading1Char"/>
    <w:uiPriority w:val="9"/>
    <w:qFormat/>
    <w:rsid w:val="00560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04A"/>
    <w:rPr>
      <w:rFonts w:eastAsiaTheme="majorEastAsia" w:cstheme="majorBidi"/>
      <w:color w:val="272727" w:themeColor="text1" w:themeTint="D8"/>
    </w:rPr>
  </w:style>
  <w:style w:type="paragraph" w:styleId="Title">
    <w:name w:val="Title"/>
    <w:basedOn w:val="Normal"/>
    <w:next w:val="Normal"/>
    <w:link w:val="TitleChar"/>
    <w:uiPriority w:val="10"/>
    <w:qFormat/>
    <w:rsid w:val="00560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04A"/>
    <w:pPr>
      <w:spacing w:before="160"/>
      <w:jc w:val="center"/>
    </w:pPr>
    <w:rPr>
      <w:i/>
      <w:iCs/>
      <w:color w:val="404040" w:themeColor="text1" w:themeTint="BF"/>
    </w:rPr>
  </w:style>
  <w:style w:type="character" w:customStyle="1" w:styleId="QuoteChar">
    <w:name w:val="Quote Char"/>
    <w:basedOn w:val="DefaultParagraphFont"/>
    <w:link w:val="Quote"/>
    <w:uiPriority w:val="29"/>
    <w:rsid w:val="0056004A"/>
    <w:rPr>
      <w:i/>
      <w:iCs/>
      <w:color w:val="404040" w:themeColor="text1" w:themeTint="BF"/>
    </w:rPr>
  </w:style>
  <w:style w:type="paragraph" w:styleId="ListParagraph">
    <w:name w:val="List Paragraph"/>
    <w:basedOn w:val="Normal"/>
    <w:uiPriority w:val="34"/>
    <w:qFormat/>
    <w:rsid w:val="0056004A"/>
    <w:pPr>
      <w:ind w:left="720"/>
      <w:contextualSpacing/>
    </w:pPr>
  </w:style>
  <w:style w:type="character" w:styleId="IntenseEmphasis">
    <w:name w:val="Intense Emphasis"/>
    <w:basedOn w:val="DefaultParagraphFont"/>
    <w:uiPriority w:val="21"/>
    <w:qFormat/>
    <w:rsid w:val="0056004A"/>
    <w:rPr>
      <w:i/>
      <w:iCs/>
      <w:color w:val="0F4761" w:themeColor="accent1" w:themeShade="BF"/>
    </w:rPr>
  </w:style>
  <w:style w:type="paragraph" w:styleId="IntenseQuote">
    <w:name w:val="Intense Quote"/>
    <w:basedOn w:val="Normal"/>
    <w:next w:val="Normal"/>
    <w:link w:val="IntenseQuoteChar"/>
    <w:uiPriority w:val="30"/>
    <w:qFormat/>
    <w:rsid w:val="00560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04A"/>
    <w:rPr>
      <w:i/>
      <w:iCs/>
      <w:color w:val="0F4761" w:themeColor="accent1" w:themeShade="BF"/>
    </w:rPr>
  </w:style>
  <w:style w:type="character" w:styleId="IntenseReference">
    <w:name w:val="Intense Reference"/>
    <w:basedOn w:val="DefaultParagraphFont"/>
    <w:uiPriority w:val="32"/>
    <w:qFormat/>
    <w:rsid w:val="0056004A"/>
    <w:rPr>
      <w:b/>
      <w:bCs/>
      <w:smallCaps/>
      <w:color w:val="0F4761" w:themeColor="accent1" w:themeShade="BF"/>
      <w:spacing w:val="5"/>
    </w:rPr>
  </w:style>
  <w:style w:type="paragraph" w:styleId="NormalWeb">
    <w:name w:val="Normal (Web)"/>
    <w:basedOn w:val="Normal"/>
    <w:uiPriority w:val="99"/>
    <w:unhideWhenUsed/>
    <w:rsid w:val="001404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344181">
      <w:bodyDiv w:val="1"/>
      <w:marLeft w:val="0"/>
      <w:marRight w:val="0"/>
      <w:marTop w:val="0"/>
      <w:marBottom w:val="0"/>
      <w:divBdr>
        <w:top w:val="none" w:sz="0" w:space="0" w:color="auto"/>
        <w:left w:val="none" w:sz="0" w:space="0" w:color="auto"/>
        <w:bottom w:val="none" w:sz="0" w:space="0" w:color="auto"/>
        <w:right w:val="none" w:sz="0" w:space="0" w:color="auto"/>
      </w:divBdr>
    </w:div>
    <w:div w:id="951089435">
      <w:bodyDiv w:val="1"/>
      <w:marLeft w:val="0"/>
      <w:marRight w:val="0"/>
      <w:marTop w:val="0"/>
      <w:marBottom w:val="0"/>
      <w:divBdr>
        <w:top w:val="none" w:sz="0" w:space="0" w:color="auto"/>
        <w:left w:val="none" w:sz="0" w:space="0" w:color="auto"/>
        <w:bottom w:val="none" w:sz="0" w:space="0" w:color="auto"/>
        <w:right w:val="none" w:sz="0" w:space="0" w:color="auto"/>
      </w:divBdr>
    </w:div>
    <w:div w:id="17806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77</cp:revision>
  <dcterms:created xsi:type="dcterms:W3CDTF">2025-03-19T19:17:00Z</dcterms:created>
  <dcterms:modified xsi:type="dcterms:W3CDTF">2025-09-11T16:41:00Z</dcterms:modified>
</cp:coreProperties>
</file>