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A891" w14:textId="77777777" w:rsidR="006416DF" w:rsidRPr="00C474B4" w:rsidRDefault="006416DF" w:rsidP="006416DF">
      <w:pPr>
        <w:jc w:val="center"/>
        <w:rPr>
          <w:rFonts w:ascii="Times New Roman" w:hAnsi="Times New Roman" w:cs="Times New Roman"/>
          <w:b/>
          <w:bCs/>
        </w:rPr>
      </w:pPr>
      <w:r w:rsidRPr="00C474B4">
        <w:rPr>
          <w:rFonts w:ascii="Times New Roman" w:hAnsi="Times New Roman" w:cs="Times New Roman"/>
          <w:b/>
          <w:bCs/>
        </w:rPr>
        <w:t>Joint Committee on Higher Education</w:t>
      </w:r>
    </w:p>
    <w:p w14:paraId="3D659758" w14:textId="77777777" w:rsidR="006416DF" w:rsidRPr="00C474B4" w:rsidRDefault="006416DF" w:rsidP="006416DF">
      <w:pPr>
        <w:jc w:val="center"/>
        <w:rPr>
          <w:rFonts w:ascii="Times New Roman" w:hAnsi="Times New Roman" w:cs="Times New Roman"/>
          <w:b/>
          <w:bCs/>
        </w:rPr>
      </w:pPr>
      <w:r w:rsidRPr="00C474B4">
        <w:rPr>
          <w:rFonts w:ascii="Times New Roman" w:hAnsi="Times New Roman" w:cs="Times New Roman"/>
          <w:b/>
          <w:bCs/>
        </w:rPr>
        <w:t>Bill Summary</w:t>
      </w:r>
    </w:p>
    <w:p w14:paraId="30AB5A0F" w14:textId="3E9CD418" w:rsidR="006416DF" w:rsidRPr="006B04A6" w:rsidRDefault="006416DF" w:rsidP="006B04A6">
      <w:pPr>
        <w:jc w:val="center"/>
        <w:rPr>
          <w:rFonts w:ascii="Times New Roman" w:hAnsi="Times New Roman" w:cs="Times New Roman"/>
          <w:b/>
          <w:bCs/>
        </w:rPr>
      </w:pPr>
      <w:r w:rsidRPr="00C474B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1D8726A" wp14:editId="37AA1710">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2.8pt,15pt" to="876.8pt,15.5pt" w14:anchorId="1CA34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v:stroke joinstyle="miter"/>
                <w10:wrap anchorx="margin"/>
              </v:line>
            </w:pict>
          </mc:Fallback>
        </mc:AlternateContent>
      </w:r>
    </w:p>
    <w:p w14:paraId="7A0B5075" w14:textId="77777777" w:rsidR="00730330" w:rsidRPr="00B14A49" w:rsidRDefault="00730330" w:rsidP="00730330">
      <w:pPr>
        <w:pStyle w:val="NormalWeb"/>
        <w:spacing w:before="0" w:beforeAutospacing="0" w:after="160" w:afterAutospacing="0"/>
      </w:pPr>
      <w:r w:rsidRPr="00B14A49">
        <w:rPr>
          <w:b/>
          <w:bCs/>
          <w:color w:val="000000"/>
          <w:u w:val="single"/>
        </w:rPr>
        <w:t>BILL NUMBER:</w:t>
      </w:r>
      <w:r w:rsidRPr="00B14A49">
        <w:rPr>
          <w:color w:val="000000"/>
        </w:rPr>
        <w:t xml:space="preserve"> House, No. 1433</w:t>
      </w:r>
    </w:p>
    <w:p w14:paraId="1F1AA3B9" w14:textId="77777777" w:rsidR="00730330" w:rsidRPr="00B14A49" w:rsidRDefault="00730330" w:rsidP="00730330">
      <w:pPr>
        <w:pStyle w:val="NormalWeb"/>
        <w:spacing w:before="0" w:beforeAutospacing="0" w:after="160" w:afterAutospacing="0"/>
      </w:pPr>
      <w:r w:rsidRPr="00B14A49">
        <w:rPr>
          <w:b/>
          <w:bCs/>
          <w:color w:val="000000"/>
          <w:u w:val="single"/>
        </w:rPr>
        <w:t>TITLE:</w:t>
      </w:r>
      <w:r w:rsidRPr="00B14A49">
        <w:rPr>
          <w:color w:val="000000"/>
        </w:rPr>
        <w:t xml:space="preserve"> An Act creating documentation requirement standards to demonstrate a disability for a public institution of higher education in the commonwealth</w:t>
      </w:r>
    </w:p>
    <w:p w14:paraId="5C07B690" w14:textId="77777777" w:rsidR="00730330" w:rsidRPr="00B14A49" w:rsidRDefault="00730330" w:rsidP="00730330">
      <w:pPr>
        <w:pStyle w:val="NormalWeb"/>
        <w:spacing w:before="0" w:beforeAutospacing="0" w:after="160" w:afterAutospacing="0"/>
      </w:pPr>
      <w:r w:rsidRPr="00B14A49">
        <w:rPr>
          <w:b/>
          <w:bCs/>
          <w:color w:val="000000"/>
          <w:u w:val="single"/>
        </w:rPr>
        <w:t>SPONSORS:</w:t>
      </w:r>
      <w:r w:rsidRPr="00B14A49">
        <w:rPr>
          <w:color w:val="000000"/>
        </w:rPr>
        <w:t xml:space="preserve"> Rep. Carmine Gentile (Sudbury)</w:t>
      </w:r>
    </w:p>
    <w:p w14:paraId="2EF3A1A8" w14:textId="77777777" w:rsidR="00730330" w:rsidRPr="00B14A49" w:rsidRDefault="00730330" w:rsidP="00730330">
      <w:pPr>
        <w:pStyle w:val="NormalWeb"/>
        <w:spacing w:before="0" w:beforeAutospacing="0" w:after="160" w:afterAutospacing="0"/>
      </w:pPr>
      <w:r w:rsidRPr="00B14A49">
        <w:rPr>
          <w:b/>
          <w:bCs/>
          <w:color w:val="000000"/>
          <w:u w:val="single"/>
        </w:rPr>
        <w:t>HEARING DATE:</w:t>
      </w:r>
      <w:r w:rsidRPr="00B14A49">
        <w:rPr>
          <w:color w:val="000000"/>
        </w:rPr>
        <w:t xml:space="preserve"> September 11, 2025</w:t>
      </w:r>
    </w:p>
    <w:p w14:paraId="538D80B9" w14:textId="77777777" w:rsidR="00730330" w:rsidRPr="00B14A49" w:rsidRDefault="00730330" w:rsidP="00730330">
      <w:pPr>
        <w:pStyle w:val="NormalWeb"/>
        <w:spacing w:before="0" w:beforeAutospacing="0" w:after="160" w:afterAutospacing="0"/>
      </w:pPr>
      <w:r w:rsidRPr="00B14A49">
        <w:rPr>
          <w:b/>
          <w:bCs/>
          <w:color w:val="000000"/>
          <w:u w:val="single"/>
        </w:rPr>
        <w:t>REPORTING DEADLINE:</w:t>
      </w:r>
      <w:r w:rsidRPr="00B14A49">
        <w:rPr>
          <w:color w:val="000000"/>
        </w:rPr>
        <w:t xml:space="preserve"> November 10, 2025</w:t>
      </w:r>
    </w:p>
    <w:p w14:paraId="7690191D" w14:textId="77777777" w:rsidR="00730330" w:rsidRPr="00B14A49" w:rsidRDefault="00730330" w:rsidP="00730330">
      <w:pPr>
        <w:pStyle w:val="NormalWeb"/>
        <w:spacing w:before="0" w:beforeAutospacing="0" w:after="160" w:afterAutospacing="0"/>
      </w:pPr>
      <w:r w:rsidRPr="00B14A49">
        <w:rPr>
          <w:b/>
          <w:bCs/>
          <w:color w:val="000000"/>
          <w:u w:val="single"/>
        </w:rPr>
        <w:t>PRIOR HISTORY</w:t>
      </w:r>
      <w:r w:rsidRPr="00B14A49">
        <w:rPr>
          <w:color w:val="000000"/>
          <w:u w:val="single"/>
        </w:rPr>
        <w:t>:</w:t>
      </w:r>
      <w:r w:rsidRPr="00B14A49">
        <w:rPr>
          <w:color w:val="000000"/>
        </w:rPr>
        <w:t xml:space="preserve"> New file</w:t>
      </w:r>
    </w:p>
    <w:p w14:paraId="11205A8F" w14:textId="77777777" w:rsidR="00730330" w:rsidRPr="00B14A49" w:rsidRDefault="00730330" w:rsidP="00730330">
      <w:pPr>
        <w:pStyle w:val="NormalWeb"/>
        <w:spacing w:before="0" w:beforeAutospacing="0" w:after="160" w:afterAutospacing="0"/>
      </w:pPr>
      <w:r w:rsidRPr="00B14A49">
        <w:rPr>
          <w:b/>
          <w:bCs/>
          <w:color w:val="000000"/>
          <w:u w:val="single"/>
        </w:rPr>
        <w:t>CURRENT LAW:</w:t>
      </w:r>
    </w:p>
    <w:p w14:paraId="213EDE84" w14:textId="77777777" w:rsidR="00730330" w:rsidRPr="00B14A49" w:rsidRDefault="00730330" w:rsidP="00730330">
      <w:pPr>
        <w:pStyle w:val="NormalWeb"/>
        <w:spacing w:before="0" w:beforeAutospacing="0" w:after="160" w:afterAutospacing="0"/>
      </w:pPr>
      <w:r w:rsidRPr="00B14A49">
        <w:rPr>
          <w:i/>
          <w:iCs/>
          <w:color w:val="000000"/>
        </w:rPr>
        <w:t xml:space="preserve">M.G.L. c. 15A </w:t>
      </w:r>
      <w:r w:rsidRPr="00B14A49">
        <w:rPr>
          <w:color w:val="000000"/>
        </w:rPr>
        <w:t xml:space="preserve">– </w:t>
      </w:r>
      <w:r w:rsidRPr="00B14A49">
        <w:rPr>
          <w:i/>
          <w:iCs/>
          <w:color w:val="000000"/>
        </w:rPr>
        <w:t>Public Education:</w:t>
      </w:r>
      <w:r w:rsidRPr="00B14A49">
        <w:rPr>
          <w:color w:val="000000"/>
        </w:rPr>
        <w:t xml:space="preserve"> This chapter deals with higher education in Massachusetts, including laying out the duties of the Board of Higher Education, scholarships and financial aid, and administration of the UMASS system, state universities, and community colleges.</w:t>
      </w:r>
    </w:p>
    <w:p w14:paraId="03EB3B22" w14:textId="77777777" w:rsidR="00730330" w:rsidRPr="00B14A49" w:rsidRDefault="00730330" w:rsidP="00730330">
      <w:pPr>
        <w:pStyle w:val="NormalWeb"/>
        <w:spacing w:before="0" w:beforeAutospacing="0" w:after="160" w:afterAutospacing="0"/>
      </w:pPr>
      <w:r w:rsidRPr="00B14A49">
        <w:rPr>
          <w:b/>
          <w:bCs/>
          <w:color w:val="000000"/>
          <w:u w:val="single"/>
        </w:rPr>
        <w:t>SUMMARY:</w:t>
      </w:r>
    </w:p>
    <w:p w14:paraId="72483E45" w14:textId="77777777" w:rsidR="00730330" w:rsidRPr="00B14A49" w:rsidRDefault="00730330" w:rsidP="00730330">
      <w:pPr>
        <w:pStyle w:val="NormalWeb"/>
        <w:spacing w:before="0" w:beforeAutospacing="0" w:after="0" w:afterAutospacing="0"/>
      </w:pPr>
      <w:r w:rsidRPr="00B14A49">
        <w:rPr>
          <w:color w:val="000000"/>
        </w:rPr>
        <w:t>This bill amends chapter 15A by adding a new section, section 48. It also sets out definitions for Individualized Education Plans (IEPs) and Section 504 Plans. Any of the following documentation is sufficient to establish that a student at a public institution of higher education has a disability: </w:t>
      </w:r>
    </w:p>
    <w:p w14:paraId="5889E2BD" w14:textId="77777777" w:rsidR="00730330" w:rsidRPr="00B14A49" w:rsidRDefault="00730330" w:rsidP="00730330">
      <w:pPr>
        <w:pStyle w:val="NormalWeb"/>
        <w:numPr>
          <w:ilvl w:val="0"/>
          <w:numId w:val="2"/>
        </w:numPr>
        <w:spacing w:before="0" w:beforeAutospacing="0" w:after="0" w:afterAutospacing="0"/>
        <w:textAlignment w:val="baseline"/>
        <w:rPr>
          <w:color w:val="000000"/>
        </w:rPr>
      </w:pPr>
      <w:r w:rsidRPr="00B14A49">
        <w:rPr>
          <w:color w:val="000000"/>
        </w:rPr>
        <w:t>Documents showing that the student had an IEP;</w:t>
      </w:r>
    </w:p>
    <w:p w14:paraId="3CCC484C" w14:textId="77777777" w:rsidR="00730330" w:rsidRPr="00B14A49" w:rsidRDefault="00730330" w:rsidP="00730330">
      <w:pPr>
        <w:pStyle w:val="NormalWeb"/>
        <w:numPr>
          <w:ilvl w:val="0"/>
          <w:numId w:val="2"/>
        </w:numPr>
        <w:spacing w:before="0" w:beforeAutospacing="0" w:after="0" w:afterAutospacing="0"/>
        <w:textAlignment w:val="baseline"/>
        <w:rPr>
          <w:color w:val="000000"/>
        </w:rPr>
      </w:pPr>
      <w:r w:rsidRPr="00B14A49">
        <w:rPr>
          <w:color w:val="000000"/>
        </w:rPr>
        <w:t>Documents showing that the student had a 504 plan;</w:t>
      </w:r>
    </w:p>
    <w:p w14:paraId="03FE6B12" w14:textId="77777777" w:rsidR="00730330" w:rsidRPr="00B14A49" w:rsidRDefault="00730330" w:rsidP="00730330">
      <w:pPr>
        <w:pStyle w:val="NormalWeb"/>
        <w:numPr>
          <w:ilvl w:val="0"/>
          <w:numId w:val="2"/>
        </w:numPr>
        <w:spacing w:before="0" w:beforeAutospacing="0" w:after="0" w:afterAutospacing="0"/>
        <w:textAlignment w:val="baseline"/>
        <w:rPr>
          <w:color w:val="000000"/>
        </w:rPr>
      </w:pPr>
      <w:r w:rsidRPr="00B14A49">
        <w:rPr>
          <w:color w:val="000000"/>
        </w:rPr>
        <w:t>Documents from a private school showing that the student had some kind of plan or service in accordance with the federal Americans with Disabilities Act;</w:t>
      </w:r>
    </w:p>
    <w:p w14:paraId="525E54C0" w14:textId="77777777" w:rsidR="00730330" w:rsidRPr="00B14A49" w:rsidRDefault="00730330" w:rsidP="00730330">
      <w:pPr>
        <w:pStyle w:val="NormalWeb"/>
        <w:numPr>
          <w:ilvl w:val="0"/>
          <w:numId w:val="2"/>
        </w:numPr>
        <w:spacing w:before="0" w:beforeAutospacing="0" w:after="0" w:afterAutospacing="0"/>
        <w:textAlignment w:val="baseline"/>
        <w:rPr>
          <w:color w:val="000000"/>
        </w:rPr>
      </w:pPr>
      <w:r w:rsidRPr="00B14A49">
        <w:rPr>
          <w:color w:val="000000"/>
        </w:rPr>
        <w:t>Documents from a licensed professional finding that the student has a disability;</w:t>
      </w:r>
    </w:p>
    <w:p w14:paraId="07E620F8" w14:textId="77777777" w:rsidR="00730330" w:rsidRPr="00B14A49" w:rsidRDefault="00730330" w:rsidP="00730330">
      <w:pPr>
        <w:pStyle w:val="NormalWeb"/>
        <w:numPr>
          <w:ilvl w:val="0"/>
          <w:numId w:val="2"/>
        </w:numPr>
        <w:spacing w:before="0" w:beforeAutospacing="0" w:after="0" w:afterAutospacing="0"/>
        <w:textAlignment w:val="baseline"/>
        <w:rPr>
          <w:color w:val="000000"/>
        </w:rPr>
      </w:pPr>
      <w:r w:rsidRPr="00B14A49">
        <w:rPr>
          <w:color w:val="000000"/>
        </w:rPr>
        <w:t>Documents from another higher education institution showing that the student has a disability; or</w:t>
      </w:r>
    </w:p>
    <w:p w14:paraId="228B8E0E" w14:textId="77777777" w:rsidR="00730330" w:rsidRPr="00B14A49" w:rsidRDefault="00730330" w:rsidP="00730330">
      <w:pPr>
        <w:pStyle w:val="NormalWeb"/>
        <w:numPr>
          <w:ilvl w:val="0"/>
          <w:numId w:val="2"/>
        </w:numPr>
        <w:spacing w:before="0" w:beforeAutospacing="0" w:after="160" w:afterAutospacing="0"/>
        <w:textAlignment w:val="baseline"/>
        <w:rPr>
          <w:color w:val="000000"/>
        </w:rPr>
      </w:pPr>
      <w:r w:rsidRPr="00B14A49">
        <w:rPr>
          <w:color w:val="000000"/>
        </w:rPr>
        <w:t>Documentation of a disability due to military service.</w:t>
      </w:r>
    </w:p>
    <w:p w14:paraId="5ED57F42" w14:textId="77777777" w:rsidR="00730330" w:rsidRPr="00B14A49" w:rsidRDefault="00730330" w:rsidP="00730330">
      <w:pPr>
        <w:pStyle w:val="NormalWeb"/>
        <w:spacing w:before="0" w:beforeAutospacing="0" w:after="160" w:afterAutospacing="0"/>
      </w:pPr>
      <w:r w:rsidRPr="00B14A49">
        <w:rPr>
          <w:color w:val="000000"/>
        </w:rPr>
        <w:t>The board of higher education shall promulgate regulations for this section, including the process by which institutions shall determine eligibility for accommodations for students with a disability. This process shall then be disclosed on each institution’s website. </w:t>
      </w:r>
    </w:p>
    <w:p w14:paraId="138B5F2F" w14:textId="77777777" w:rsidR="00965B12" w:rsidRPr="00C474B4" w:rsidRDefault="00965B12" w:rsidP="00730330">
      <w:pPr>
        <w:pStyle w:val="NormalWeb"/>
        <w:spacing w:before="0" w:beforeAutospacing="0" w:after="160" w:afterAutospacing="0"/>
      </w:pPr>
    </w:p>
    <w:sectPr w:rsidR="00965B12" w:rsidRPr="00C47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8161B"/>
    <w:multiLevelType w:val="multilevel"/>
    <w:tmpl w:val="99F6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E15AB"/>
    <w:multiLevelType w:val="hybridMultilevel"/>
    <w:tmpl w:val="2C1453CA"/>
    <w:lvl w:ilvl="0" w:tplc="D988BE7C">
      <w:start w:val="19"/>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C1A1C"/>
    <w:multiLevelType w:val="multilevel"/>
    <w:tmpl w:val="C2968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740164">
    <w:abstractNumId w:val="1"/>
  </w:num>
  <w:num w:numId="2" w16cid:durableId="1328552823">
    <w:abstractNumId w:val="0"/>
  </w:num>
  <w:num w:numId="3" w16cid:durableId="1399010276">
    <w:abstractNumId w:val="2"/>
  </w:num>
  <w:num w:numId="4" w16cid:durableId="482503263">
    <w:abstractNumId w:val="2"/>
    <w:lvlOverride w:ilvl="1">
      <w:lvl w:ilvl="1">
        <w:numFmt w:val="bullet"/>
        <w:lvlText w:val=""/>
        <w:lvlJc w:val="left"/>
        <w:pPr>
          <w:tabs>
            <w:tab w:val="num" w:pos="1440"/>
          </w:tabs>
          <w:ind w:left="1440" w:hanging="360"/>
        </w:pPr>
        <w:rPr>
          <w:rFonts w:ascii="Symbol" w:hAnsi="Symbol" w:hint="default"/>
          <w:sz w:val="20"/>
        </w:rPr>
      </w:lvl>
    </w:lvlOverride>
  </w:num>
  <w:num w:numId="5" w16cid:durableId="1183859431">
    <w:abstractNumId w:val="2"/>
    <w:lvlOverride w:ilvl="1">
      <w:lvl w:ilvl="1">
        <w:numFmt w:val="bullet"/>
        <w:lvlText w:val=""/>
        <w:lvlJc w:val="left"/>
        <w:pPr>
          <w:tabs>
            <w:tab w:val="num" w:pos="1440"/>
          </w:tabs>
          <w:ind w:left="1440" w:hanging="360"/>
        </w:pPr>
        <w:rPr>
          <w:rFonts w:ascii="Symbol" w:hAnsi="Symbol" w:hint="default"/>
          <w:sz w:val="20"/>
        </w:rPr>
      </w:lvl>
    </w:lvlOverride>
  </w:num>
  <w:num w:numId="6" w16cid:durableId="1655181863">
    <w:abstractNumId w:val="2"/>
    <w:lvlOverride w:ilvl="1">
      <w:lvl w:ilvl="1">
        <w:numFmt w:val="bullet"/>
        <w:lvlText w:val=""/>
        <w:lvlJc w:val="left"/>
        <w:pPr>
          <w:tabs>
            <w:tab w:val="num" w:pos="1440"/>
          </w:tabs>
          <w:ind w:left="1440" w:hanging="360"/>
        </w:pPr>
        <w:rPr>
          <w:rFonts w:ascii="Symbol" w:hAnsi="Symbol" w:hint="default"/>
          <w:sz w:val="20"/>
        </w:rPr>
      </w:lvl>
    </w:lvlOverride>
  </w:num>
  <w:num w:numId="7" w16cid:durableId="192111571">
    <w:abstractNumId w:val="2"/>
    <w:lvlOverride w:ilvl="1">
      <w:lvl w:ilvl="1">
        <w:numFmt w:val="bullet"/>
        <w:lvlText w:val=""/>
        <w:lvlJc w:val="left"/>
        <w:pPr>
          <w:tabs>
            <w:tab w:val="num" w:pos="1440"/>
          </w:tabs>
          <w:ind w:left="1440" w:hanging="360"/>
        </w:pPr>
        <w:rPr>
          <w:rFonts w:ascii="Symbol" w:hAnsi="Symbol" w:hint="default"/>
          <w:sz w:val="20"/>
        </w:rPr>
      </w:lvl>
    </w:lvlOverride>
  </w:num>
  <w:num w:numId="8" w16cid:durableId="757218913">
    <w:abstractNumId w:val="2"/>
    <w:lvlOverride w:ilvl="1">
      <w:lvl w:ilvl="1">
        <w:numFmt w:val="bullet"/>
        <w:lvlText w:val=""/>
        <w:lvlJc w:val="left"/>
        <w:pPr>
          <w:tabs>
            <w:tab w:val="num" w:pos="1440"/>
          </w:tabs>
          <w:ind w:left="1440" w:hanging="360"/>
        </w:pPr>
        <w:rPr>
          <w:rFonts w:ascii="Symbol" w:hAnsi="Symbol" w:hint="default"/>
          <w:sz w:val="20"/>
        </w:rPr>
      </w:lvl>
    </w:lvlOverride>
  </w:num>
  <w:num w:numId="9" w16cid:durableId="513542902">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DF"/>
    <w:rsid w:val="000429B0"/>
    <w:rsid w:val="0005276E"/>
    <w:rsid w:val="000535F5"/>
    <w:rsid w:val="00066DC4"/>
    <w:rsid w:val="00081F93"/>
    <w:rsid w:val="000879E7"/>
    <w:rsid w:val="0026226D"/>
    <w:rsid w:val="00285B4B"/>
    <w:rsid w:val="0028685A"/>
    <w:rsid w:val="00302C45"/>
    <w:rsid w:val="00303A69"/>
    <w:rsid w:val="00305A93"/>
    <w:rsid w:val="00351B0B"/>
    <w:rsid w:val="003A4BED"/>
    <w:rsid w:val="00465BFF"/>
    <w:rsid w:val="00510CBD"/>
    <w:rsid w:val="00594A8F"/>
    <w:rsid w:val="005D61A9"/>
    <w:rsid w:val="005E1D7D"/>
    <w:rsid w:val="005E4634"/>
    <w:rsid w:val="006416DF"/>
    <w:rsid w:val="006926B2"/>
    <w:rsid w:val="006B04A6"/>
    <w:rsid w:val="006C2E39"/>
    <w:rsid w:val="006D35D9"/>
    <w:rsid w:val="00730330"/>
    <w:rsid w:val="0075574C"/>
    <w:rsid w:val="00763E05"/>
    <w:rsid w:val="007B3211"/>
    <w:rsid w:val="009338A1"/>
    <w:rsid w:val="00965B12"/>
    <w:rsid w:val="009A3AE9"/>
    <w:rsid w:val="009C0CA7"/>
    <w:rsid w:val="00A71F2C"/>
    <w:rsid w:val="00AA5F2E"/>
    <w:rsid w:val="00AE4BEC"/>
    <w:rsid w:val="00B572E7"/>
    <w:rsid w:val="00B932F5"/>
    <w:rsid w:val="00BB7BAB"/>
    <w:rsid w:val="00BD0657"/>
    <w:rsid w:val="00BF2FAD"/>
    <w:rsid w:val="00C474B4"/>
    <w:rsid w:val="00CD69C2"/>
    <w:rsid w:val="00DC1B4C"/>
    <w:rsid w:val="00DE7471"/>
    <w:rsid w:val="00E43BCA"/>
    <w:rsid w:val="00E655F3"/>
    <w:rsid w:val="00E67B2A"/>
    <w:rsid w:val="00E87180"/>
    <w:rsid w:val="00F11202"/>
    <w:rsid w:val="00F71577"/>
    <w:rsid w:val="00F92788"/>
    <w:rsid w:val="00FC69B1"/>
    <w:rsid w:val="0B4E95C7"/>
    <w:rsid w:val="1F22D910"/>
    <w:rsid w:val="319FD598"/>
    <w:rsid w:val="4C463308"/>
    <w:rsid w:val="4F1F9584"/>
    <w:rsid w:val="59625487"/>
    <w:rsid w:val="76DE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40F3"/>
  <w15:chartTrackingRefBased/>
  <w15:docId w15:val="{817F641B-1B41-4902-AC18-71BF71E5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6DF"/>
  </w:style>
  <w:style w:type="paragraph" w:styleId="Heading1">
    <w:name w:val="heading 1"/>
    <w:basedOn w:val="Normal"/>
    <w:next w:val="Normal"/>
    <w:link w:val="Heading1Char"/>
    <w:uiPriority w:val="9"/>
    <w:qFormat/>
    <w:rsid w:val="00641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6DF"/>
    <w:rPr>
      <w:rFonts w:eastAsiaTheme="majorEastAsia" w:cstheme="majorBidi"/>
      <w:color w:val="272727" w:themeColor="text1" w:themeTint="D8"/>
    </w:rPr>
  </w:style>
  <w:style w:type="paragraph" w:styleId="Title">
    <w:name w:val="Title"/>
    <w:basedOn w:val="Normal"/>
    <w:next w:val="Normal"/>
    <w:link w:val="TitleChar"/>
    <w:uiPriority w:val="10"/>
    <w:qFormat/>
    <w:rsid w:val="00641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6DF"/>
    <w:pPr>
      <w:spacing w:before="160"/>
      <w:jc w:val="center"/>
    </w:pPr>
    <w:rPr>
      <w:i/>
      <w:iCs/>
      <w:color w:val="404040" w:themeColor="text1" w:themeTint="BF"/>
    </w:rPr>
  </w:style>
  <w:style w:type="character" w:customStyle="1" w:styleId="QuoteChar">
    <w:name w:val="Quote Char"/>
    <w:basedOn w:val="DefaultParagraphFont"/>
    <w:link w:val="Quote"/>
    <w:uiPriority w:val="29"/>
    <w:rsid w:val="006416DF"/>
    <w:rPr>
      <w:i/>
      <w:iCs/>
      <w:color w:val="404040" w:themeColor="text1" w:themeTint="BF"/>
    </w:rPr>
  </w:style>
  <w:style w:type="paragraph" w:styleId="ListParagraph">
    <w:name w:val="List Paragraph"/>
    <w:basedOn w:val="Normal"/>
    <w:uiPriority w:val="34"/>
    <w:qFormat/>
    <w:rsid w:val="006416DF"/>
    <w:pPr>
      <w:ind w:left="720"/>
      <w:contextualSpacing/>
    </w:pPr>
  </w:style>
  <w:style w:type="character" w:styleId="IntenseEmphasis">
    <w:name w:val="Intense Emphasis"/>
    <w:basedOn w:val="DefaultParagraphFont"/>
    <w:uiPriority w:val="21"/>
    <w:qFormat/>
    <w:rsid w:val="006416DF"/>
    <w:rPr>
      <w:i/>
      <w:iCs/>
      <w:color w:val="0F4761" w:themeColor="accent1" w:themeShade="BF"/>
    </w:rPr>
  </w:style>
  <w:style w:type="paragraph" w:styleId="IntenseQuote">
    <w:name w:val="Intense Quote"/>
    <w:basedOn w:val="Normal"/>
    <w:next w:val="Normal"/>
    <w:link w:val="IntenseQuoteChar"/>
    <w:uiPriority w:val="30"/>
    <w:qFormat/>
    <w:rsid w:val="00641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6DF"/>
    <w:rPr>
      <w:i/>
      <w:iCs/>
      <w:color w:val="0F4761" w:themeColor="accent1" w:themeShade="BF"/>
    </w:rPr>
  </w:style>
  <w:style w:type="character" w:styleId="IntenseReference">
    <w:name w:val="Intense Reference"/>
    <w:basedOn w:val="DefaultParagraphFont"/>
    <w:uiPriority w:val="32"/>
    <w:qFormat/>
    <w:rsid w:val="006416DF"/>
    <w:rPr>
      <w:b/>
      <w:bCs/>
      <w:smallCaps/>
      <w:color w:val="0F4761" w:themeColor="accent1" w:themeShade="BF"/>
      <w:spacing w:val="5"/>
    </w:rPr>
  </w:style>
  <w:style w:type="paragraph" w:styleId="NormalWeb">
    <w:name w:val="Normal (Web)"/>
    <w:basedOn w:val="Normal"/>
    <w:uiPriority w:val="99"/>
    <w:unhideWhenUsed/>
    <w:rsid w:val="002622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651247">
      <w:bodyDiv w:val="1"/>
      <w:marLeft w:val="0"/>
      <w:marRight w:val="0"/>
      <w:marTop w:val="0"/>
      <w:marBottom w:val="0"/>
      <w:divBdr>
        <w:top w:val="none" w:sz="0" w:space="0" w:color="auto"/>
        <w:left w:val="none" w:sz="0" w:space="0" w:color="auto"/>
        <w:bottom w:val="none" w:sz="0" w:space="0" w:color="auto"/>
        <w:right w:val="none" w:sz="0" w:space="0" w:color="auto"/>
      </w:divBdr>
    </w:div>
    <w:div w:id="1336566831">
      <w:bodyDiv w:val="1"/>
      <w:marLeft w:val="0"/>
      <w:marRight w:val="0"/>
      <w:marTop w:val="0"/>
      <w:marBottom w:val="0"/>
      <w:divBdr>
        <w:top w:val="none" w:sz="0" w:space="0" w:color="auto"/>
        <w:left w:val="none" w:sz="0" w:space="0" w:color="auto"/>
        <w:bottom w:val="none" w:sz="0" w:space="0" w:color="auto"/>
        <w:right w:val="none" w:sz="0" w:space="0" w:color="auto"/>
      </w:divBdr>
    </w:div>
    <w:div w:id="206112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Doppel, Emily (HOU)</cp:lastModifiedBy>
  <cp:revision>45</cp:revision>
  <dcterms:created xsi:type="dcterms:W3CDTF">2025-03-20T14:39:00Z</dcterms:created>
  <dcterms:modified xsi:type="dcterms:W3CDTF">2025-09-11T16:40:00Z</dcterms:modified>
</cp:coreProperties>
</file>