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BE40" w14:textId="2AF3D928" w:rsidR="00EA681F" w:rsidRPr="00EA681F" w:rsidRDefault="00EA681F" w:rsidP="00EA681F">
      <w:pPr>
        <w:jc w:val="center"/>
        <w:rPr>
          <w:rFonts w:ascii="Times New Roman" w:hAnsi="Times New Roman" w:cs="Times New Roman"/>
        </w:rPr>
      </w:pPr>
      <w:r w:rsidRPr="00EA681F">
        <w:rPr>
          <w:rFonts w:ascii="Times New Roman" w:hAnsi="Times New Roman" w:cs="Times New Roman"/>
          <w:b/>
          <w:bCs/>
        </w:rPr>
        <w:t>Joint Committee on Higher Education</w:t>
      </w:r>
    </w:p>
    <w:p w14:paraId="1BD453BA" w14:textId="67DE99F6" w:rsidR="00EA681F" w:rsidRPr="00EA681F" w:rsidRDefault="00EA681F" w:rsidP="00EA681F">
      <w:pPr>
        <w:jc w:val="center"/>
        <w:rPr>
          <w:rFonts w:ascii="Times New Roman" w:hAnsi="Times New Roman" w:cs="Times New Roman"/>
        </w:rPr>
      </w:pPr>
      <w:r w:rsidRPr="00EA681F">
        <w:rPr>
          <w:rFonts w:ascii="Times New Roman" w:hAnsi="Times New Roman" w:cs="Times New Roman"/>
          <w:b/>
          <w:bCs/>
        </w:rPr>
        <w:t>Bill Summary</w:t>
      </w:r>
    </w:p>
    <w:p w14:paraId="3B9CBC12" w14:textId="61C568AD" w:rsidR="00EA681F" w:rsidRPr="00EA681F" w:rsidRDefault="00EA681F" w:rsidP="00EA681F">
      <w:pPr>
        <w:rPr>
          <w:rFonts w:ascii="Times New Roman" w:hAnsi="Times New Roman" w:cs="Times New Roman"/>
        </w:rPr>
      </w:pPr>
      <w:r w:rsidRPr="00EA681F">
        <w:rPr>
          <w:rFonts w:ascii="Times New Roman" w:hAnsi="Times New Roman" w:cs="Times New Roman"/>
          <w:noProof/>
        </w:rPr>
        <w:drawing>
          <wp:inline distT="0" distB="0" distL="0" distR="0" wp14:anchorId="19059AA0" wp14:editId="17306C81">
            <wp:extent cx="5937250" cy="50800"/>
            <wp:effectExtent l="0" t="0" r="6350" b="6350"/>
            <wp:docPr id="2070407650" name="Picture 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ght Connector 1, Sha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50800"/>
                    </a:xfrm>
                    <a:prstGeom prst="rect">
                      <a:avLst/>
                    </a:prstGeom>
                    <a:noFill/>
                    <a:ln>
                      <a:noFill/>
                    </a:ln>
                  </pic:spPr>
                </pic:pic>
              </a:graphicData>
            </a:graphic>
          </wp:inline>
        </w:drawing>
      </w:r>
    </w:p>
    <w:p w14:paraId="06E7CC8B" w14:textId="6D4DADC8" w:rsidR="00EA681F" w:rsidRPr="00EA681F" w:rsidRDefault="00EA681F" w:rsidP="00EA681F">
      <w:pPr>
        <w:rPr>
          <w:rFonts w:ascii="Times New Roman" w:hAnsi="Times New Roman" w:cs="Times New Roman"/>
        </w:rPr>
      </w:pPr>
    </w:p>
    <w:p w14:paraId="059EA759" w14:textId="7D6F9532"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BILL NUMBER:</w:t>
      </w:r>
      <w:r w:rsidRPr="00EA681F">
        <w:rPr>
          <w:rFonts w:ascii="Times New Roman" w:hAnsi="Times New Roman" w:cs="Times New Roman"/>
        </w:rPr>
        <w:t xml:space="preserve"> House, No. 1444 </w:t>
      </w:r>
    </w:p>
    <w:p w14:paraId="3286B34F"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TITLE:</w:t>
      </w:r>
      <w:r w:rsidRPr="00EA681F">
        <w:rPr>
          <w:rFonts w:ascii="Times New Roman" w:hAnsi="Times New Roman" w:cs="Times New Roman"/>
        </w:rPr>
        <w:t xml:space="preserve"> An Act relative to higher education financial literacy counseling </w:t>
      </w:r>
    </w:p>
    <w:p w14:paraId="7499BD74"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SPONSORS:</w:t>
      </w:r>
      <w:r w:rsidRPr="00EA681F">
        <w:rPr>
          <w:rFonts w:ascii="Times New Roman" w:hAnsi="Times New Roman" w:cs="Times New Roman"/>
        </w:rPr>
        <w:t xml:space="preserve"> Rep. Bradley Jones (North Reading) </w:t>
      </w:r>
    </w:p>
    <w:p w14:paraId="49061096"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HEARING DATE:</w:t>
      </w:r>
      <w:r w:rsidRPr="00EA681F">
        <w:rPr>
          <w:rFonts w:ascii="Times New Roman" w:hAnsi="Times New Roman" w:cs="Times New Roman"/>
        </w:rPr>
        <w:t xml:space="preserve"> July 18</w:t>
      </w:r>
      <w:r w:rsidRPr="00EA681F">
        <w:rPr>
          <w:rFonts w:ascii="Times New Roman" w:hAnsi="Times New Roman" w:cs="Times New Roman"/>
          <w:vertAlign w:val="superscript"/>
        </w:rPr>
        <w:t>th</w:t>
      </w:r>
      <w:r w:rsidRPr="00EA681F">
        <w:rPr>
          <w:rFonts w:ascii="Times New Roman" w:hAnsi="Times New Roman" w:cs="Times New Roman"/>
        </w:rPr>
        <w:t>, 2025 </w:t>
      </w:r>
    </w:p>
    <w:p w14:paraId="08B737AB"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REPORTING DEADLINE:</w:t>
      </w:r>
      <w:r w:rsidRPr="00EA681F">
        <w:rPr>
          <w:rFonts w:ascii="Times New Roman" w:hAnsi="Times New Roman" w:cs="Times New Roman"/>
        </w:rPr>
        <w:t xml:space="preserve"> September 16</w:t>
      </w:r>
      <w:r w:rsidRPr="00EA681F">
        <w:rPr>
          <w:rFonts w:ascii="Times New Roman" w:hAnsi="Times New Roman" w:cs="Times New Roman"/>
          <w:vertAlign w:val="superscript"/>
        </w:rPr>
        <w:t>th</w:t>
      </w:r>
      <w:r w:rsidRPr="00EA681F">
        <w:rPr>
          <w:rFonts w:ascii="Times New Roman" w:hAnsi="Times New Roman" w:cs="Times New Roman"/>
        </w:rPr>
        <w:t>, 2025 </w:t>
      </w:r>
    </w:p>
    <w:p w14:paraId="77DF412E"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PRIOR HISTORY:</w:t>
      </w:r>
      <w:r w:rsidRPr="00EA681F">
        <w:rPr>
          <w:rFonts w:ascii="Times New Roman" w:hAnsi="Times New Roman" w:cs="Times New Roman"/>
        </w:rPr>
        <w:t> </w:t>
      </w:r>
    </w:p>
    <w:p w14:paraId="4AD48C67" w14:textId="7B9D3855" w:rsidR="00EA681F" w:rsidRPr="00EA681F" w:rsidRDefault="00EA681F" w:rsidP="00EA681F">
      <w:pPr>
        <w:rPr>
          <w:rFonts w:ascii="Times New Roman" w:hAnsi="Times New Roman" w:cs="Times New Roman"/>
        </w:rPr>
      </w:pPr>
      <w:r w:rsidRPr="00EA681F">
        <w:rPr>
          <w:rFonts w:ascii="Times New Roman" w:hAnsi="Times New Roman" w:cs="Times New Roman"/>
        </w:rPr>
        <w:t>2023-2024 (H.1272): Accompanied a new draft (H.4452). </w:t>
      </w:r>
      <w:r w:rsidR="00305F91">
        <w:rPr>
          <w:rFonts w:ascii="Times New Roman" w:hAnsi="Times New Roman" w:cs="Times New Roman"/>
        </w:rPr>
        <w:t xml:space="preserve">Reported favorably to House Ways and Means. </w:t>
      </w:r>
    </w:p>
    <w:p w14:paraId="571B2DA6" w14:textId="71426A7A" w:rsidR="00EA681F" w:rsidRPr="00EA681F" w:rsidRDefault="00EA681F" w:rsidP="00EA681F">
      <w:pPr>
        <w:rPr>
          <w:rFonts w:ascii="Times New Roman" w:hAnsi="Times New Roman" w:cs="Times New Roman"/>
        </w:rPr>
      </w:pPr>
      <w:r w:rsidRPr="00EA681F">
        <w:rPr>
          <w:rFonts w:ascii="Times New Roman" w:hAnsi="Times New Roman" w:cs="Times New Roman"/>
        </w:rPr>
        <w:t xml:space="preserve">2021-2022 (H.1343): </w:t>
      </w:r>
      <w:r w:rsidR="00B852A6">
        <w:rPr>
          <w:rFonts w:ascii="Times New Roman" w:hAnsi="Times New Roman" w:cs="Times New Roman"/>
        </w:rPr>
        <w:t xml:space="preserve">Ordered to a House </w:t>
      </w:r>
      <w:r w:rsidR="00B852A6" w:rsidRPr="00EA681F">
        <w:rPr>
          <w:rFonts w:ascii="Times New Roman" w:hAnsi="Times New Roman" w:cs="Times New Roman"/>
        </w:rPr>
        <w:t xml:space="preserve">study </w:t>
      </w:r>
      <w:r w:rsidRPr="00EA681F">
        <w:rPr>
          <w:rFonts w:ascii="Times New Roman" w:hAnsi="Times New Roman" w:cs="Times New Roman"/>
        </w:rPr>
        <w:t>(See H.5174). </w:t>
      </w:r>
    </w:p>
    <w:p w14:paraId="48B3182A" w14:textId="7B2F6BF6" w:rsidR="00EA681F" w:rsidRPr="00EA681F" w:rsidRDefault="00EA681F" w:rsidP="00EA681F">
      <w:pPr>
        <w:rPr>
          <w:rFonts w:ascii="Times New Roman" w:hAnsi="Times New Roman" w:cs="Times New Roman"/>
        </w:rPr>
      </w:pPr>
      <w:r w:rsidRPr="00EA681F">
        <w:rPr>
          <w:rFonts w:ascii="Times New Roman" w:hAnsi="Times New Roman" w:cs="Times New Roman"/>
        </w:rPr>
        <w:t xml:space="preserve">2019-2020 (H. 1224): </w:t>
      </w:r>
      <w:r w:rsidR="00B852A6">
        <w:rPr>
          <w:rFonts w:ascii="Times New Roman" w:hAnsi="Times New Roman" w:cs="Times New Roman"/>
        </w:rPr>
        <w:t xml:space="preserve">Ordered to a House </w:t>
      </w:r>
      <w:r w:rsidR="00B852A6" w:rsidRPr="00EA681F">
        <w:rPr>
          <w:rFonts w:ascii="Times New Roman" w:hAnsi="Times New Roman" w:cs="Times New Roman"/>
        </w:rPr>
        <w:t xml:space="preserve">study </w:t>
      </w:r>
      <w:r w:rsidRPr="00EA681F">
        <w:rPr>
          <w:rFonts w:ascii="Times New Roman" w:hAnsi="Times New Roman" w:cs="Times New Roman"/>
        </w:rPr>
        <w:t>(See H.5125). </w:t>
      </w:r>
    </w:p>
    <w:p w14:paraId="19B2DB73" w14:textId="2D40990A" w:rsidR="00EA681F" w:rsidRPr="00EA681F" w:rsidRDefault="00EA681F" w:rsidP="00EA681F">
      <w:pPr>
        <w:rPr>
          <w:rFonts w:ascii="Times New Roman" w:hAnsi="Times New Roman" w:cs="Times New Roman"/>
        </w:rPr>
      </w:pPr>
      <w:r w:rsidRPr="00EA681F">
        <w:rPr>
          <w:rFonts w:ascii="Times New Roman" w:hAnsi="Times New Roman" w:cs="Times New Roman"/>
        </w:rPr>
        <w:t xml:space="preserve">2017-2018 (H.2227): </w:t>
      </w:r>
      <w:r w:rsidR="00B852A6">
        <w:rPr>
          <w:rFonts w:ascii="Times New Roman" w:hAnsi="Times New Roman" w:cs="Times New Roman"/>
        </w:rPr>
        <w:t xml:space="preserve">Ordered to a House </w:t>
      </w:r>
      <w:r w:rsidRPr="00EA681F">
        <w:rPr>
          <w:rFonts w:ascii="Times New Roman" w:hAnsi="Times New Roman" w:cs="Times New Roman"/>
        </w:rPr>
        <w:t>study (See H.4610). </w:t>
      </w:r>
    </w:p>
    <w:p w14:paraId="7D999C98"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CURRENT LAW: </w:t>
      </w:r>
      <w:r w:rsidRPr="00EA681F">
        <w:rPr>
          <w:rFonts w:ascii="Times New Roman" w:hAnsi="Times New Roman" w:cs="Times New Roman"/>
        </w:rPr>
        <w:t> </w:t>
      </w:r>
    </w:p>
    <w:p w14:paraId="091980E9" w14:textId="77777777" w:rsidR="00EA681F" w:rsidRPr="00EA681F" w:rsidRDefault="00EA681F" w:rsidP="00EA681F">
      <w:pPr>
        <w:rPr>
          <w:rFonts w:ascii="Times New Roman" w:hAnsi="Times New Roman" w:cs="Times New Roman"/>
        </w:rPr>
      </w:pPr>
      <w:r w:rsidRPr="00EA681F">
        <w:rPr>
          <w:rFonts w:ascii="Times New Roman" w:hAnsi="Times New Roman" w:cs="Times New Roman"/>
          <w:i/>
          <w:iCs/>
        </w:rPr>
        <w:t>M.G.L. c. 15A —</w:t>
      </w:r>
      <w:r w:rsidRPr="00EA681F">
        <w:rPr>
          <w:rFonts w:ascii="Times New Roman" w:hAnsi="Times New Roman" w:cs="Times New Roman"/>
        </w:rPr>
        <w:t xml:space="preserve"> </w:t>
      </w:r>
      <w:r w:rsidRPr="00EA681F">
        <w:rPr>
          <w:rFonts w:ascii="Times New Roman" w:hAnsi="Times New Roman" w:cs="Times New Roman"/>
          <w:i/>
          <w:iCs/>
        </w:rPr>
        <w:t xml:space="preserve">Public Education </w:t>
      </w:r>
      <w:r w:rsidRPr="00EA681F">
        <w:rPr>
          <w:rFonts w:ascii="Times New Roman" w:hAnsi="Times New Roman" w:cs="Times New Roman"/>
        </w:rPr>
        <w:t> </w:t>
      </w:r>
    </w:p>
    <w:p w14:paraId="327330B4" w14:textId="77777777" w:rsidR="00EA681F" w:rsidRPr="00EA681F" w:rsidRDefault="00EA681F" w:rsidP="00EA681F">
      <w:pPr>
        <w:rPr>
          <w:rFonts w:ascii="Times New Roman" w:hAnsi="Times New Roman" w:cs="Times New Roman"/>
        </w:rPr>
      </w:pPr>
      <w:r w:rsidRPr="00EA681F">
        <w:rPr>
          <w:rFonts w:ascii="Times New Roman" w:hAnsi="Times New Roman" w:cs="Times New Roman"/>
          <w:b/>
          <w:bCs/>
          <w:u w:val="single"/>
        </w:rPr>
        <w:t>SUMMARY: </w:t>
      </w:r>
      <w:r w:rsidRPr="00EA681F">
        <w:rPr>
          <w:rFonts w:ascii="Times New Roman" w:hAnsi="Times New Roman" w:cs="Times New Roman"/>
        </w:rPr>
        <w:t> </w:t>
      </w:r>
    </w:p>
    <w:p w14:paraId="08203CDD" w14:textId="1ED4D461" w:rsidR="00EA681F" w:rsidRPr="00EA681F" w:rsidRDefault="00EA681F" w:rsidP="00EA681F">
      <w:pPr>
        <w:rPr>
          <w:rFonts w:ascii="Times New Roman" w:hAnsi="Times New Roman" w:cs="Times New Roman"/>
        </w:rPr>
      </w:pPr>
      <w:r w:rsidRPr="00EA681F">
        <w:rPr>
          <w:rFonts w:ascii="Times New Roman" w:hAnsi="Times New Roman" w:cs="Times New Roman"/>
        </w:rPr>
        <w:t xml:space="preserve">This bill </w:t>
      </w:r>
      <w:r w:rsidR="001E52CA">
        <w:rPr>
          <w:rFonts w:ascii="Times New Roman" w:hAnsi="Times New Roman" w:cs="Times New Roman"/>
        </w:rPr>
        <w:t>grants</w:t>
      </w:r>
      <w:r w:rsidRPr="00EA681F">
        <w:rPr>
          <w:rFonts w:ascii="Times New Roman" w:hAnsi="Times New Roman" w:cs="Times New Roman"/>
        </w:rPr>
        <w:t xml:space="preserve"> the Board of Higher Education the authority to mandate that public higher education institutions provide financial literacy counseling relative to student loans and other college expenses. It also gives the Board the authority to distribute a college financing plan developed by the federal Consumer Financial Protection Bureau and the U.S. Department of Education, which would include information such as cost of attendance, transportation, and opportunities for grants and scholarships. </w:t>
      </w:r>
      <w:r w:rsidR="001C4CDC">
        <w:rPr>
          <w:rFonts w:ascii="Times New Roman" w:hAnsi="Times New Roman" w:cs="Times New Roman"/>
        </w:rPr>
        <w:t xml:space="preserve">The Board is further authorized to promulgate regulations to carry out this section. </w:t>
      </w:r>
    </w:p>
    <w:p w14:paraId="4375EB9F"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C8"/>
    <w:rsid w:val="001C4CDC"/>
    <w:rsid w:val="001E52CA"/>
    <w:rsid w:val="00273D0B"/>
    <w:rsid w:val="00305F91"/>
    <w:rsid w:val="006A6520"/>
    <w:rsid w:val="00756AC8"/>
    <w:rsid w:val="007B3211"/>
    <w:rsid w:val="00965B12"/>
    <w:rsid w:val="00B852A6"/>
    <w:rsid w:val="00EA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6D1E"/>
  <w15:chartTrackingRefBased/>
  <w15:docId w15:val="{620C4741-0E71-4F4F-AE47-5E7F940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AC8"/>
    <w:rPr>
      <w:rFonts w:eastAsiaTheme="majorEastAsia" w:cstheme="majorBidi"/>
      <w:color w:val="272727" w:themeColor="text1" w:themeTint="D8"/>
    </w:rPr>
  </w:style>
  <w:style w:type="paragraph" w:styleId="Title">
    <w:name w:val="Title"/>
    <w:basedOn w:val="Normal"/>
    <w:next w:val="Normal"/>
    <w:link w:val="TitleChar"/>
    <w:uiPriority w:val="10"/>
    <w:qFormat/>
    <w:rsid w:val="00756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AC8"/>
    <w:pPr>
      <w:spacing w:before="160"/>
      <w:jc w:val="center"/>
    </w:pPr>
    <w:rPr>
      <w:i/>
      <w:iCs/>
      <w:color w:val="404040" w:themeColor="text1" w:themeTint="BF"/>
    </w:rPr>
  </w:style>
  <w:style w:type="character" w:customStyle="1" w:styleId="QuoteChar">
    <w:name w:val="Quote Char"/>
    <w:basedOn w:val="DefaultParagraphFont"/>
    <w:link w:val="Quote"/>
    <w:uiPriority w:val="29"/>
    <w:rsid w:val="00756AC8"/>
    <w:rPr>
      <w:i/>
      <w:iCs/>
      <w:color w:val="404040" w:themeColor="text1" w:themeTint="BF"/>
    </w:rPr>
  </w:style>
  <w:style w:type="paragraph" w:styleId="ListParagraph">
    <w:name w:val="List Paragraph"/>
    <w:basedOn w:val="Normal"/>
    <w:uiPriority w:val="34"/>
    <w:qFormat/>
    <w:rsid w:val="00756AC8"/>
    <w:pPr>
      <w:ind w:left="720"/>
      <w:contextualSpacing/>
    </w:pPr>
  </w:style>
  <w:style w:type="character" w:styleId="IntenseEmphasis">
    <w:name w:val="Intense Emphasis"/>
    <w:basedOn w:val="DefaultParagraphFont"/>
    <w:uiPriority w:val="21"/>
    <w:qFormat/>
    <w:rsid w:val="00756AC8"/>
    <w:rPr>
      <w:i/>
      <w:iCs/>
      <w:color w:val="0F4761" w:themeColor="accent1" w:themeShade="BF"/>
    </w:rPr>
  </w:style>
  <w:style w:type="paragraph" w:styleId="IntenseQuote">
    <w:name w:val="Intense Quote"/>
    <w:basedOn w:val="Normal"/>
    <w:next w:val="Normal"/>
    <w:link w:val="IntenseQuoteChar"/>
    <w:uiPriority w:val="30"/>
    <w:qFormat/>
    <w:rsid w:val="00756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AC8"/>
    <w:rPr>
      <w:i/>
      <w:iCs/>
      <w:color w:val="0F4761" w:themeColor="accent1" w:themeShade="BF"/>
    </w:rPr>
  </w:style>
  <w:style w:type="character" w:styleId="IntenseReference">
    <w:name w:val="Intense Reference"/>
    <w:basedOn w:val="DefaultParagraphFont"/>
    <w:uiPriority w:val="32"/>
    <w:qFormat/>
    <w:rsid w:val="00756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77686">
      <w:bodyDiv w:val="1"/>
      <w:marLeft w:val="0"/>
      <w:marRight w:val="0"/>
      <w:marTop w:val="0"/>
      <w:marBottom w:val="0"/>
      <w:divBdr>
        <w:top w:val="none" w:sz="0" w:space="0" w:color="auto"/>
        <w:left w:val="none" w:sz="0" w:space="0" w:color="auto"/>
        <w:bottom w:val="none" w:sz="0" w:space="0" w:color="auto"/>
        <w:right w:val="none" w:sz="0" w:space="0" w:color="auto"/>
      </w:divBdr>
      <w:divsChild>
        <w:div w:id="2063483401">
          <w:marLeft w:val="0"/>
          <w:marRight w:val="0"/>
          <w:marTop w:val="0"/>
          <w:marBottom w:val="0"/>
          <w:divBdr>
            <w:top w:val="none" w:sz="0" w:space="0" w:color="auto"/>
            <w:left w:val="none" w:sz="0" w:space="0" w:color="auto"/>
            <w:bottom w:val="none" w:sz="0" w:space="0" w:color="auto"/>
            <w:right w:val="none" w:sz="0" w:space="0" w:color="auto"/>
          </w:divBdr>
        </w:div>
        <w:div w:id="1771777255">
          <w:marLeft w:val="0"/>
          <w:marRight w:val="0"/>
          <w:marTop w:val="0"/>
          <w:marBottom w:val="0"/>
          <w:divBdr>
            <w:top w:val="none" w:sz="0" w:space="0" w:color="auto"/>
            <w:left w:val="none" w:sz="0" w:space="0" w:color="auto"/>
            <w:bottom w:val="none" w:sz="0" w:space="0" w:color="auto"/>
            <w:right w:val="none" w:sz="0" w:space="0" w:color="auto"/>
          </w:divBdr>
        </w:div>
        <w:div w:id="801925400">
          <w:marLeft w:val="0"/>
          <w:marRight w:val="0"/>
          <w:marTop w:val="0"/>
          <w:marBottom w:val="0"/>
          <w:divBdr>
            <w:top w:val="none" w:sz="0" w:space="0" w:color="auto"/>
            <w:left w:val="none" w:sz="0" w:space="0" w:color="auto"/>
            <w:bottom w:val="none" w:sz="0" w:space="0" w:color="auto"/>
            <w:right w:val="none" w:sz="0" w:space="0" w:color="auto"/>
          </w:divBdr>
        </w:div>
        <w:div w:id="1482194573">
          <w:marLeft w:val="0"/>
          <w:marRight w:val="0"/>
          <w:marTop w:val="0"/>
          <w:marBottom w:val="0"/>
          <w:divBdr>
            <w:top w:val="none" w:sz="0" w:space="0" w:color="auto"/>
            <w:left w:val="none" w:sz="0" w:space="0" w:color="auto"/>
            <w:bottom w:val="none" w:sz="0" w:space="0" w:color="auto"/>
            <w:right w:val="none" w:sz="0" w:space="0" w:color="auto"/>
          </w:divBdr>
        </w:div>
        <w:div w:id="564529151">
          <w:marLeft w:val="0"/>
          <w:marRight w:val="0"/>
          <w:marTop w:val="0"/>
          <w:marBottom w:val="0"/>
          <w:divBdr>
            <w:top w:val="none" w:sz="0" w:space="0" w:color="auto"/>
            <w:left w:val="none" w:sz="0" w:space="0" w:color="auto"/>
            <w:bottom w:val="none" w:sz="0" w:space="0" w:color="auto"/>
            <w:right w:val="none" w:sz="0" w:space="0" w:color="auto"/>
          </w:divBdr>
        </w:div>
        <w:div w:id="1049917524">
          <w:marLeft w:val="0"/>
          <w:marRight w:val="0"/>
          <w:marTop w:val="0"/>
          <w:marBottom w:val="0"/>
          <w:divBdr>
            <w:top w:val="none" w:sz="0" w:space="0" w:color="auto"/>
            <w:left w:val="none" w:sz="0" w:space="0" w:color="auto"/>
            <w:bottom w:val="none" w:sz="0" w:space="0" w:color="auto"/>
            <w:right w:val="none" w:sz="0" w:space="0" w:color="auto"/>
          </w:divBdr>
        </w:div>
        <w:div w:id="1454330056">
          <w:marLeft w:val="0"/>
          <w:marRight w:val="0"/>
          <w:marTop w:val="0"/>
          <w:marBottom w:val="0"/>
          <w:divBdr>
            <w:top w:val="none" w:sz="0" w:space="0" w:color="auto"/>
            <w:left w:val="none" w:sz="0" w:space="0" w:color="auto"/>
            <w:bottom w:val="none" w:sz="0" w:space="0" w:color="auto"/>
            <w:right w:val="none" w:sz="0" w:space="0" w:color="auto"/>
          </w:divBdr>
        </w:div>
        <w:div w:id="791554103">
          <w:marLeft w:val="0"/>
          <w:marRight w:val="0"/>
          <w:marTop w:val="0"/>
          <w:marBottom w:val="0"/>
          <w:divBdr>
            <w:top w:val="none" w:sz="0" w:space="0" w:color="auto"/>
            <w:left w:val="none" w:sz="0" w:space="0" w:color="auto"/>
            <w:bottom w:val="none" w:sz="0" w:space="0" w:color="auto"/>
            <w:right w:val="none" w:sz="0" w:space="0" w:color="auto"/>
          </w:divBdr>
        </w:div>
        <w:div w:id="1321814599">
          <w:marLeft w:val="0"/>
          <w:marRight w:val="0"/>
          <w:marTop w:val="0"/>
          <w:marBottom w:val="0"/>
          <w:divBdr>
            <w:top w:val="none" w:sz="0" w:space="0" w:color="auto"/>
            <w:left w:val="none" w:sz="0" w:space="0" w:color="auto"/>
            <w:bottom w:val="none" w:sz="0" w:space="0" w:color="auto"/>
            <w:right w:val="none" w:sz="0" w:space="0" w:color="auto"/>
          </w:divBdr>
        </w:div>
        <w:div w:id="546645244">
          <w:marLeft w:val="0"/>
          <w:marRight w:val="0"/>
          <w:marTop w:val="0"/>
          <w:marBottom w:val="0"/>
          <w:divBdr>
            <w:top w:val="none" w:sz="0" w:space="0" w:color="auto"/>
            <w:left w:val="none" w:sz="0" w:space="0" w:color="auto"/>
            <w:bottom w:val="none" w:sz="0" w:space="0" w:color="auto"/>
            <w:right w:val="none" w:sz="0" w:space="0" w:color="auto"/>
          </w:divBdr>
        </w:div>
        <w:div w:id="1857303049">
          <w:marLeft w:val="0"/>
          <w:marRight w:val="0"/>
          <w:marTop w:val="0"/>
          <w:marBottom w:val="0"/>
          <w:divBdr>
            <w:top w:val="none" w:sz="0" w:space="0" w:color="auto"/>
            <w:left w:val="none" w:sz="0" w:space="0" w:color="auto"/>
            <w:bottom w:val="none" w:sz="0" w:space="0" w:color="auto"/>
            <w:right w:val="none" w:sz="0" w:space="0" w:color="auto"/>
          </w:divBdr>
        </w:div>
        <w:div w:id="524053135">
          <w:marLeft w:val="0"/>
          <w:marRight w:val="0"/>
          <w:marTop w:val="0"/>
          <w:marBottom w:val="0"/>
          <w:divBdr>
            <w:top w:val="none" w:sz="0" w:space="0" w:color="auto"/>
            <w:left w:val="none" w:sz="0" w:space="0" w:color="auto"/>
            <w:bottom w:val="none" w:sz="0" w:space="0" w:color="auto"/>
            <w:right w:val="none" w:sz="0" w:space="0" w:color="auto"/>
          </w:divBdr>
        </w:div>
        <w:div w:id="228350957">
          <w:marLeft w:val="0"/>
          <w:marRight w:val="0"/>
          <w:marTop w:val="0"/>
          <w:marBottom w:val="0"/>
          <w:divBdr>
            <w:top w:val="none" w:sz="0" w:space="0" w:color="auto"/>
            <w:left w:val="none" w:sz="0" w:space="0" w:color="auto"/>
            <w:bottom w:val="none" w:sz="0" w:space="0" w:color="auto"/>
            <w:right w:val="none" w:sz="0" w:space="0" w:color="auto"/>
          </w:divBdr>
        </w:div>
        <w:div w:id="1182353886">
          <w:marLeft w:val="0"/>
          <w:marRight w:val="0"/>
          <w:marTop w:val="0"/>
          <w:marBottom w:val="0"/>
          <w:divBdr>
            <w:top w:val="none" w:sz="0" w:space="0" w:color="auto"/>
            <w:left w:val="none" w:sz="0" w:space="0" w:color="auto"/>
            <w:bottom w:val="none" w:sz="0" w:space="0" w:color="auto"/>
            <w:right w:val="none" w:sz="0" w:space="0" w:color="auto"/>
          </w:divBdr>
        </w:div>
        <w:div w:id="1658266906">
          <w:marLeft w:val="0"/>
          <w:marRight w:val="0"/>
          <w:marTop w:val="0"/>
          <w:marBottom w:val="0"/>
          <w:divBdr>
            <w:top w:val="none" w:sz="0" w:space="0" w:color="auto"/>
            <w:left w:val="none" w:sz="0" w:space="0" w:color="auto"/>
            <w:bottom w:val="none" w:sz="0" w:space="0" w:color="auto"/>
            <w:right w:val="none" w:sz="0" w:space="0" w:color="auto"/>
          </w:divBdr>
        </w:div>
        <w:div w:id="1852403853">
          <w:marLeft w:val="0"/>
          <w:marRight w:val="0"/>
          <w:marTop w:val="0"/>
          <w:marBottom w:val="0"/>
          <w:divBdr>
            <w:top w:val="none" w:sz="0" w:space="0" w:color="auto"/>
            <w:left w:val="none" w:sz="0" w:space="0" w:color="auto"/>
            <w:bottom w:val="none" w:sz="0" w:space="0" w:color="auto"/>
            <w:right w:val="none" w:sz="0" w:space="0" w:color="auto"/>
          </w:divBdr>
        </w:div>
        <w:div w:id="28454881">
          <w:marLeft w:val="0"/>
          <w:marRight w:val="0"/>
          <w:marTop w:val="0"/>
          <w:marBottom w:val="0"/>
          <w:divBdr>
            <w:top w:val="none" w:sz="0" w:space="0" w:color="auto"/>
            <w:left w:val="none" w:sz="0" w:space="0" w:color="auto"/>
            <w:bottom w:val="none" w:sz="0" w:space="0" w:color="auto"/>
            <w:right w:val="none" w:sz="0" w:space="0" w:color="auto"/>
          </w:divBdr>
        </w:div>
        <w:div w:id="1870217524">
          <w:marLeft w:val="0"/>
          <w:marRight w:val="0"/>
          <w:marTop w:val="0"/>
          <w:marBottom w:val="0"/>
          <w:divBdr>
            <w:top w:val="none" w:sz="0" w:space="0" w:color="auto"/>
            <w:left w:val="none" w:sz="0" w:space="0" w:color="auto"/>
            <w:bottom w:val="none" w:sz="0" w:space="0" w:color="auto"/>
            <w:right w:val="none" w:sz="0" w:space="0" w:color="auto"/>
          </w:divBdr>
        </w:div>
      </w:divsChild>
    </w:div>
    <w:div w:id="2103644391">
      <w:bodyDiv w:val="1"/>
      <w:marLeft w:val="0"/>
      <w:marRight w:val="0"/>
      <w:marTop w:val="0"/>
      <w:marBottom w:val="0"/>
      <w:divBdr>
        <w:top w:val="none" w:sz="0" w:space="0" w:color="auto"/>
        <w:left w:val="none" w:sz="0" w:space="0" w:color="auto"/>
        <w:bottom w:val="none" w:sz="0" w:space="0" w:color="auto"/>
        <w:right w:val="none" w:sz="0" w:space="0" w:color="auto"/>
      </w:divBdr>
      <w:divsChild>
        <w:div w:id="2095317040">
          <w:marLeft w:val="0"/>
          <w:marRight w:val="0"/>
          <w:marTop w:val="0"/>
          <w:marBottom w:val="0"/>
          <w:divBdr>
            <w:top w:val="none" w:sz="0" w:space="0" w:color="auto"/>
            <w:left w:val="none" w:sz="0" w:space="0" w:color="auto"/>
            <w:bottom w:val="none" w:sz="0" w:space="0" w:color="auto"/>
            <w:right w:val="none" w:sz="0" w:space="0" w:color="auto"/>
          </w:divBdr>
        </w:div>
        <w:div w:id="949701970">
          <w:marLeft w:val="0"/>
          <w:marRight w:val="0"/>
          <w:marTop w:val="0"/>
          <w:marBottom w:val="0"/>
          <w:divBdr>
            <w:top w:val="none" w:sz="0" w:space="0" w:color="auto"/>
            <w:left w:val="none" w:sz="0" w:space="0" w:color="auto"/>
            <w:bottom w:val="none" w:sz="0" w:space="0" w:color="auto"/>
            <w:right w:val="none" w:sz="0" w:space="0" w:color="auto"/>
          </w:divBdr>
        </w:div>
        <w:div w:id="1568540582">
          <w:marLeft w:val="0"/>
          <w:marRight w:val="0"/>
          <w:marTop w:val="0"/>
          <w:marBottom w:val="0"/>
          <w:divBdr>
            <w:top w:val="none" w:sz="0" w:space="0" w:color="auto"/>
            <w:left w:val="none" w:sz="0" w:space="0" w:color="auto"/>
            <w:bottom w:val="none" w:sz="0" w:space="0" w:color="auto"/>
            <w:right w:val="none" w:sz="0" w:space="0" w:color="auto"/>
          </w:divBdr>
        </w:div>
        <w:div w:id="1941913080">
          <w:marLeft w:val="0"/>
          <w:marRight w:val="0"/>
          <w:marTop w:val="0"/>
          <w:marBottom w:val="0"/>
          <w:divBdr>
            <w:top w:val="none" w:sz="0" w:space="0" w:color="auto"/>
            <w:left w:val="none" w:sz="0" w:space="0" w:color="auto"/>
            <w:bottom w:val="none" w:sz="0" w:space="0" w:color="auto"/>
            <w:right w:val="none" w:sz="0" w:space="0" w:color="auto"/>
          </w:divBdr>
        </w:div>
        <w:div w:id="1546212155">
          <w:marLeft w:val="0"/>
          <w:marRight w:val="0"/>
          <w:marTop w:val="0"/>
          <w:marBottom w:val="0"/>
          <w:divBdr>
            <w:top w:val="none" w:sz="0" w:space="0" w:color="auto"/>
            <w:left w:val="none" w:sz="0" w:space="0" w:color="auto"/>
            <w:bottom w:val="none" w:sz="0" w:space="0" w:color="auto"/>
            <w:right w:val="none" w:sz="0" w:space="0" w:color="auto"/>
          </w:divBdr>
        </w:div>
        <w:div w:id="316766117">
          <w:marLeft w:val="0"/>
          <w:marRight w:val="0"/>
          <w:marTop w:val="0"/>
          <w:marBottom w:val="0"/>
          <w:divBdr>
            <w:top w:val="none" w:sz="0" w:space="0" w:color="auto"/>
            <w:left w:val="none" w:sz="0" w:space="0" w:color="auto"/>
            <w:bottom w:val="none" w:sz="0" w:space="0" w:color="auto"/>
            <w:right w:val="none" w:sz="0" w:space="0" w:color="auto"/>
          </w:divBdr>
        </w:div>
        <w:div w:id="469518750">
          <w:marLeft w:val="0"/>
          <w:marRight w:val="0"/>
          <w:marTop w:val="0"/>
          <w:marBottom w:val="0"/>
          <w:divBdr>
            <w:top w:val="none" w:sz="0" w:space="0" w:color="auto"/>
            <w:left w:val="none" w:sz="0" w:space="0" w:color="auto"/>
            <w:bottom w:val="none" w:sz="0" w:space="0" w:color="auto"/>
            <w:right w:val="none" w:sz="0" w:space="0" w:color="auto"/>
          </w:divBdr>
        </w:div>
        <w:div w:id="1651253720">
          <w:marLeft w:val="0"/>
          <w:marRight w:val="0"/>
          <w:marTop w:val="0"/>
          <w:marBottom w:val="0"/>
          <w:divBdr>
            <w:top w:val="none" w:sz="0" w:space="0" w:color="auto"/>
            <w:left w:val="none" w:sz="0" w:space="0" w:color="auto"/>
            <w:bottom w:val="none" w:sz="0" w:space="0" w:color="auto"/>
            <w:right w:val="none" w:sz="0" w:space="0" w:color="auto"/>
          </w:divBdr>
        </w:div>
        <w:div w:id="2052343290">
          <w:marLeft w:val="0"/>
          <w:marRight w:val="0"/>
          <w:marTop w:val="0"/>
          <w:marBottom w:val="0"/>
          <w:divBdr>
            <w:top w:val="none" w:sz="0" w:space="0" w:color="auto"/>
            <w:left w:val="none" w:sz="0" w:space="0" w:color="auto"/>
            <w:bottom w:val="none" w:sz="0" w:space="0" w:color="auto"/>
            <w:right w:val="none" w:sz="0" w:space="0" w:color="auto"/>
          </w:divBdr>
        </w:div>
        <w:div w:id="362751336">
          <w:marLeft w:val="0"/>
          <w:marRight w:val="0"/>
          <w:marTop w:val="0"/>
          <w:marBottom w:val="0"/>
          <w:divBdr>
            <w:top w:val="none" w:sz="0" w:space="0" w:color="auto"/>
            <w:left w:val="none" w:sz="0" w:space="0" w:color="auto"/>
            <w:bottom w:val="none" w:sz="0" w:space="0" w:color="auto"/>
            <w:right w:val="none" w:sz="0" w:space="0" w:color="auto"/>
          </w:divBdr>
        </w:div>
        <w:div w:id="385764543">
          <w:marLeft w:val="0"/>
          <w:marRight w:val="0"/>
          <w:marTop w:val="0"/>
          <w:marBottom w:val="0"/>
          <w:divBdr>
            <w:top w:val="none" w:sz="0" w:space="0" w:color="auto"/>
            <w:left w:val="none" w:sz="0" w:space="0" w:color="auto"/>
            <w:bottom w:val="none" w:sz="0" w:space="0" w:color="auto"/>
            <w:right w:val="none" w:sz="0" w:space="0" w:color="auto"/>
          </w:divBdr>
        </w:div>
        <w:div w:id="1389767064">
          <w:marLeft w:val="0"/>
          <w:marRight w:val="0"/>
          <w:marTop w:val="0"/>
          <w:marBottom w:val="0"/>
          <w:divBdr>
            <w:top w:val="none" w:sz="0" w:space="0" w:color="auto"/>
            <w:left w:val="none" w:sz="0" w:space="0" w:color="auto"/>
            <w:bottom w:val="none" w:sz="0" w:space="0" w:color="auto"/>
            <w:right w:val="none" w:sz="0" w:space="0" w:color="auto"/>
          </w:divBdr>
        </w:div>
        <w:div w:id="999387795">
          <w:marLeft w:val="0"/>
          <w:marRight w:val="0"/>
          <w:marTop w:val="0"/>
          <w:marBottom w:val="0"/>
          <w:divBdr>
            <w:top w:val="none" w:sz="0" w:space="0" w:color="auto"/>
            <w:left w:val="none" w:sz="0" w:space="0" w:color="auto"/>
            <w:bottom w:val="none" w:sz="0" w:space="0" w:color="auto"/>
            <w:right w:val="none" w:sz="0" w:space="0" w:color="auto"/>
          </w:divBdr>
        </w:div>
        <w:div w:id="454830222">
          <w:marLeft w:val="0"/>
          <w:marRight w:val="0"/>
          <w:marTop w:val="0"/>
          <w:marBottom w:val="0"/>
          <w:divBdr>
            <w:top w:val="none" w:sz="0" w:space="0" w:color="auto"/>
            <w:left w:val="none" w:sz="0" w:space="0" w:color="auto"/>
            <w:bottom w:val="none" w:sz="0" w:space="0" w:color="auto"/>
            <w:right w:val="none" w:sz="0" w:space="0" w:color="auto"/>
          </w:divBdr>
        </w:div>
        <w:div w:id="1546988025">
          <w:marLeft w:val="0"/>
          <w:marRight w:val="0"/>
          <w:marTop w:val="0"/>
          <w:marBottom w:val="0"/>
          <w:divBdr>
            <w:top w:val="none" w:sz="0" w:space="0" w:color="auto"/>
            <w:left w:val="none" w:sz="0" w:space="0" w:color="auto"/>
            <w:bottom w:val="none" w:sz="0" w:space="0" w:color="auto"/>
            <w:right w:val="none" w:sz="0" w:space="0" w:color="auto"/>
          </w:divBdr>
        </w:div>
        <w:div w:id="1241283483">
          <w:marLeft w:val="0"/>
          <w:marRight w:val="0"/>
          <w:marTop w:val="0"/>
          <w:marBottom w:val="0"/>
          <w:divBdr>
            <w:top w:val="none" w:sz="0" w:space="0" w:color="auto"/>
            <w:left w:val="none" w:sz="0" w:space="0" w:color="auto"/>
            <w:bottom w:val="none" w:sz="0" w:space="0" w:color="auto"/>
            <w:right w:val="none" w:sz="0" w:space="0" w:color="auto"/>
          </w:divBdr>
        </w:div>
        <w:div w:id="278995536">
          <w:marLeft w:val="0"/>
          <w:marRight w:val="0"/>
          <w:marTop w:val="0"/>
          <w:marBottom w:val="0"/>
          <w:divBdr>
            <w:top w:val="none" w:sz="0" w:space="0" w:color="auto"/>
            <w:left w:val="none" w:sz="0" w:space="0" w:color="auto"/>
            <w:bottom w:val="none" w:sz="0" w:space="0" w:color="auto"/>
            <w:right w:val="none" w:sz="0" w:space="0" w:color="auto"/>
          </w:divBdr>
        </w:div>
        <w:div w:id="150427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7</cp:revision>
  <dcterms:created xsi:type="dcterms:W3CDTF">2025-07-18T16:06:00Z</dcterms:created>
  <dcterms:modified xsi:type="dcterms:W3CDTF">2025-07-20T21:01:00Z</dcterms:modified>
</cp:coreProperties>
</file>