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DE1F7" w14:textId="77777777" w:rsidR="00550D0D" w:rsidRPr="009F7252" w:rsidRDefault="00550D0D" w:rsidP="00550D0D">
      <w:pPr>
        <w:jc w:val="center"/>
        <w:rPr>
          <w:rFonts w:ascii="Times New Roman" w:hAnsi="Times New Roman" w:cs="Times New Roman"/>
          <w:b/>
          <w:bCs/>
        </w:rPr>
      </w:pPr>
      <w:r w:rsidRPr="009F7252">
        <w:rPr>
          <w:rFonts w:ascii="Times New Roman" w:hAnsi="Times New Roman" w:cs="Times New Roman"/>
          <w:b/>
          <w:bCs/>
        </w:rPr>
        <w:t>Joint Committee on Higher Education</w:t>
      </w:r>
    </w:p>
    <w:p w14:paraId="2912BB04" w14:textId="77777777" w:rsidR="00550D0D" w:rsidRPr="009F7252" w:rsidRDefault="00550D0D" w:rsidP="00550D0D">
      <w:pPr>
        <w:jc w:val="center"/>
        <w:rPr>
          <w:rFonts w:ascii="Times New Roman" w:hAnsi="Times New Roman" w:cs="Times New Roman"/>
          <w:b/>
          <w:bCs/>
        </w:rPr>
      </w:pPr>
      <w:r w:rsidRPr="009F7252">
        <w:rPr>
          <w:rFonts w:ascii="Times New Roman" w:hAnsi="Times New Roman" w:cs="Times New Roman"/>
          <w:b/>
          <w:bCs/>
        </w:rPr>
        <w:t>Bill Summary</w:t>
      </w:r>
    </w:p>
    <w:p w14:paraId="0394CE2B" w14:textId="776B8678" w:rsidR="00550D0D" w:rsidRPr="009F7252" w:rsidRDefault="00550D0D" w:rsidP="009F7252">
      <w:pPr>
        <w:jc w:val="center"/>
        <w:rPr>
          <w:rFonts w:ascii="Times New Roman" w:hAnsi="Times New Roman" w:cs="Times New Roman"/>
          <w:b/>
          <w:bCs/>
        </w:rPr>
      </w:pPr>
      <w:r w:rsidRPr="009F725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BC658F3" wp14:editId="534F238A">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2.8pt,15pt" to="876.8pt,15.5pt" w14:anchorId="19637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">
                <v:stroke joinstyle="miter"/>
                <w10:wrap anchorx="margin"/>
              </v:line>
            </w:pict>
          </mc:Fallback>
        </mc:AlternateContent>
      </w:r>
    </w:p>
    <w:p w14:paraId="6B41D708" w14:textId="77777777" w:rsidR="00B63631" w:rsidRPr="00B14A49" w:rsidRDefault="00B63631" w:rsidP="00B63631">
      <w:pPr>
        <w:pStyle w:val="NormalWeb"/>
        <w:spacing w:before="0" w:beforeAutospacing="0" w:after="160" w:afterAutospacing="0"/>
      </w:pPr>
      <w:r w:rsidRPr="00B14A49">
        <w:rPr>
          <w:b/>
          <w:bCs/>
          <w:color w:val="000000"/>
          <w:u w:val="single"/>
        </w:rPr>
        <w:t>BILL NUMBER:</w:t>
      </w:r>
      <w:r w:rsidRPr="00B14A49">
        <w:rPr>
          <w:color w:val="000000"/>
        </w:rPr>
        <w:t xml:space="preserve"> House, No. 1448</w:t>
      </w:r>
    </w:p>
    <w:p w14:paraId="57E35048" w14:textId="77777777" w:rsidR="00B63631" w:rsidRPr="00B14A49" w:rsidRDefault="00B63631" w:rsidP="00B63631">
      <w:pPr>
        <w:pStyle w:val="NormalWeb"/>
        <w:spacing w:before="0" w:beforeAutospacing="0" w:after="160" w:afterAutospacing="0"/>
      </w:pPr>
      <w:r w:rsidRPr="00B14A49">
        <w:rPr>
          <w:b/>
          <w:bCs/>
          <w:color w:val="000000"/>
          <w:u w:val="single"/>
        </w:rPr>
        <w:t>TITLE:</w:t>
      </w:r>
      <w:r w:rsidRPr="00B14A49">
        <w:rPr>
          <w:color w:val="000000"/>
        </w:rPr>
        <w:t xml:space="preserve"> An Act creating higher education opportunities for students with intellectual disabilities, autism spectrum disorders, and other developmental disabilities</w:t>
      </w:r>
    </w:p>
    <w:p w14:paraId="468BB618" w14:textId="77777777" w:rsidR="00B63631" w:rsidRPr="00B14A49" w:rsidRDefault="00B63631" w:rsidP="00B63631">
      <w:pPr>
        <w:pStyle w:val="NormalWeb"/>
        <w:spacing w:before="0" w:beforeAutospacing="0" w:after="160" w:afterAutospacing="0"/>
      </w:pPr>
      <w:r w:rsidRPr="00B14A49">
        <w:rPr>
          <w:b/>
          <w:bCs/>
          <w:color w:val="000000"/>
          <w:u w:val="single"/>
        </w:rPr>
        <w:t>SPONSORS:</w:t>
      </w:r>
      <w:r w:rsidRPr="00B14A49">
        <w:rPr>
          <w:color w:val="000000"/>
        </w:rPr>
        <w:t xml:space="preserve"> Rep. Michael Kushmerek (Fitchburg)</w:t>
      </w:r>
    </w:p>
    <w:p w14:paraId="78D58BAF" w14:textId="77777777" w:rsidR="00B63631" w:rsidRPr="00B14A49" w:rsidRDefault="00B63631" w:rsidP="00B63631">
      <w:pPr>
        <w:pStyle w:val="NormalWeb"/>
        <w:spacing w:before="0" w:beforeAutospacing="0" w:after="160" w:afterAutospacing="0"/>
      </w:pPr>
      <w:r w:rsidRPr="00B14A49">
        <w:rPr>
          <w:b/>
          <w:bCs/>
          <w:color w:val="000000"/>
          <w:u w:val="single"/>
        </w:rPr>
        <w:t>HEARING DATE:</w:t>
      </w:r>
      <w:r w:rsidRPr="00B14A49">
        <w:rPr>
          <w:color w:val="000000"/>
        </w:rPr>
        <w:t xml:space="preserve"> September 11, 2025</w:t>
      </w:r>
    </w:p>
    <w:p w14:paraId="335CB807" w14:textId="77777777" w:rsidR="00B63631" w:rsidRPr="00B14A49" w:rsidRDefault="00B63631" w:rsidP="00B63631">
      <w:pPr>
        <w:pStyle w:val="NormalWeb"/>
        <w:spacing w:before="0" w:beforeAutospacing="0" w:after="160" w:afterAutospacing="0"/>
      </w:pPr>
      <w:r w:rsidRPr="00B14A49">
        <w:rPr>
          <w:b/>
          <w:bCs/>
          <w:color w:val="000000"/>
          <w:u w:val="single"/>
        </w:rPr>
        <w:t>REPORTING DEADLINE:</w:t>
      </w:r>
      <w:r w:rsidRPr="00B14A49">
        <w:rPr>
          <w:color w:val="000000"/>
        </w:rPr>
        <w:t xml:space="preserve"> November 10, 2025</w:t>
      </w:r>
    </w:p>
    <w:p w14:paraId="070CBD56" w14:textId="77777777" w:rsidR="00B63631" w:rsidRPr="00B14A49" w:rsidRDefault="00B63631" w:rsidP="00B63631">
      <w:pPr>
        <w:pStyle w:val="NormalWeb"/>
        <w:spacing w:before="0" w:beforeAutospacing="0" w:after="160" w:afterAutospacing="0"/>
      </w:pPr>
      <w:r w:rsidRPr="00B14A49">
        <w:rPr>
          <w:b/>
          <w:bCs/>
          <w:color w:val="000000"/>
          <w:u w:val="single"/>
        </w:rPr>
        <w:t>PRIOR HISTORY:</w:t>
      </w:r>
    </w:p>
    <w:p w14:paraId="0EC84916" w14:textId="77777777" w:rsidR="00B63631" w:rsidRPr="00B14A49" w:rsidRDefault="00B63631" w:rsidP="00B63631">
      <w:pPr>
        <w:pStyle w:val="NormalWeb"/>
        <w:spacing w:before="0" w:beforeAutospacing="0" w:after="160" w:afterAutospacing="0"/>
        <w:rPr>
          <w:color w:val="000000"/>
        </w:rPr>
      </w:pPr>
      <w:r w:rsidRPr="00B14A49">
        <w:rPr>
          <w:color w:val="000000"/>
        </w:rPr>
        <w:t>2021-2022 (H.1331 and H.1337): Accompanied a new draft (H.4695) and referred to House Ways and Means. No further action.</w:t>
      </w:r>
    </w:p>
    <w:p w14:paraId="34A8975A" w14:textId="77777777" w:rsidR="00B63631" w:rsidRPr="00B14A49" w:rsidRDefault="00B63631" w:rsidP="00B63631">
      <w:pPr>
        <w:pStyle w:val="NormalWeb"/>
        <w:spacing w:before="0" w:beforeAutospacing="0" w:after="160" w:afterAutospacing="0"/>
        <w:rPr>
          <w:color w:val="000000"/>
        </w:rPr>
      </w:pPr>
      <w:r w:rsidRPr="00B14A49">
        <w:rPr>
          <w:color w:val="000000"/>
        </w:rPr>
        <w:t>2019-2020 (H.1219): Accompanied a new draft (H.4419) and referred to House Ways and Means. No further action.</w:t>
      </w:r>
    </w:p>
    <w:p w14:paraId="42C320AD" w14:textId="77777777" w:rsidR="00B63631" w:rsidRPr="00B14A49" w:rsidRDefault="00B63631" w:rsidP="00B63631">
      <w:pPr>
        <w:pStyle w:val="NormalWeb"/>
        <w:spacing w:before="0" w:beforeAutospacing="0" w:after="160" w:afterAutospacing="0"/>
        <w:rPr>
          <w:color w:val="000000"/>
        </w:rPr>
      </w:pPr>
      <w:r w:rsidRPr="00B14A49">
        <w:rPr>
          <w:color w:val="000000"/>
        </w:rPr>
        <w:t xml:space="preserve">2017-2018 (H.634): Accompanied a new draft (H.4286) and referred to House Ways and Means. No further action. </w:t>
      </w:r>
    </w:p>
    <w:p w14:paraId="52C9638A" w14:textId="77777777" w:rsidR="00B63631" w:rsidRPr="00B14A49" w:rsidRDefault="00B63631" w:rsidP="00B63631">
      <w:pPr>
        <w:pStyle w:val="NormalWeb"/>
        <w:spacing w:before="0" w:beforeAutospacing="0" w:after="160" w:afterAutospacing="0"/>
      </w:pPr>
      <w:r w:rsidRPr="00B14A49">
        <w:rPr>
          <w:color w:val="000000"/>
        </w:rPr>
        <w:t xml:space="preserve">2015-2016 (H.1064): Accompanied a new draft (H.4040) and referred House Ways and Means. Favorably reported with an amendment and substituted with a new draft (H.4561). Read third and passed to be engrossed. No further action. </w:t>
      </w:r>
    </w:p>
    <w:p w14:paraId="12FC850B" w14:textId="77777777" w:rsidR="00B63631" w:rsidRPr="00B14A49" w:rsidRDefault="00B63631" w:rsidP="00B63631">
      <w:pPr>
        <w:pStyle w:val="NormalWeb"/>
        <w:spacing w:before="0" w:beforeAutospacing="0" w:after="160" w:afterAutospacing="0"/>
      </w:pPr>
      <w:r w:rsidRPr="00B14A49">
        <w:rPr>
          <w:b/>
          <w:bCs/>
          <w:color w:val="000000"/>
          <w:u w:val="single"/>
        </w:rPr>
        <w:t>CURRENT LAW:</w:t>
      </w:r>
    </w:p>
    <w:p w14:paraId="7C88BDA6" w14:textId="77777777" w:rsidR="00B63631" w:rsidRPr="00B14A49" w:rsidRDefault="00B63631" w:rsidP="00B63631">
      <w:pPr>
        <w:pStyle w:val="NormalWeb"/>
        <w:spacing w:before="0" w:beforeAutospacing="0" w:after="160" w:afterAutospacing="0"/>
      </w:pPr>
      <w:r w:rsidRPr="00B14A49">
        <w:rPr>
          <w:i/>
          <w:iCs/>
          <w:color w:val="000000"/>
        </w:rPr>
        <w:t>M.G.L. c. 15A, § 1 –</w:t>
      </w:r>
      <w:r w:rsidRPr="00B14A49">
        <w:rPr>
          <w:color w:val="000000"/>
        </w:rPr>
        <w:t xml:space="preserve"> </w:t>
      </w:r>
      <w:r w:rsidRPr="00B14A49">
        <w:rPr>
          <w:i/>
          <w:iCs/>
          <w:color w:val="000000"/>
        </w:rPr>
        <w:t xml:space="preserve">Policy and goals: </w:t>
      </w:r>
      <w:r w:rsidRPr="00B14A49">
        <w:rPr>
          <w:color w:val="000000"/>
        </w:rPr>
        <w:t>This section establishes the policy and goals set forth for the system of public higher education.</w:t>
      </w:r>
    </w:p>
    <w:p w14:paraId="24E09486" w14:textId="77777777" w:rsidR="00B63631" w:rsidRPr="00B14A49" w:rsidRDefault="00B63631" w:rsidP="00B63631">
      <w:pPr>
        <w:pStyle w:val="NormalWeb"/>
        <w:spacing w:before="0" w:beforeAutospacing="0" w:after="160" w:afterAutospacing="0"/>
      </w:pPr>
      <w:r w:rsidRPr="00B14A49">
        <w:rPr>
          <w:i/>
          <w:iCs/>
          <w:color w:val="000000"/>
        </w:rPr>
        <w:t xml:space="preserve">M.G.L. c. 15A, § 7 – Mission statements; development, approval and adoption: </w:t>
      </w:r>
      <w:r w:rsidRPr="00B14A49">
        <w:rPr>
          <w:color w:val="000000"/>
        </w:rPr>
        <w:t>This section outlines the process for developing and approving mission statements within the public higher education system. The council is responsible for creating segmental mission statements for the overall system and its three segments, which are then subject to secretarial approval. Individual institutions, through their boards of trustees, must also develop and submit mission statements that align with the segmental statements. The secretary, in consultation with the council, can revise these statements and has the authority to approve, reject, or amend five-year plans from institutions seeking to expand their regional or national focus.</w:t>
      </w:r>
    </w:p>
    <w:p w14:paraId="56AE9F09" w14:textId="77777777" w:rsidR="00B63631" w:rsidRPr="00B14A49" w:rsidRDefault="00B63631" w:rsidP="00B63631">
      <w:pPr>
        <w:pStyle w:val="NormalWeb"/>
        <w:spacing w:before="0" w:beforeAutospacing="0" w:after="160" w:afterAutospacing="0"/>
      </w:pPr>
      <w:r w:rsidRPr="00B14A49">
        <w:rPr>
          <w:i/>
          <w:iCs/>
          <w:color w:val="000000"/>
        </w:rPr>
        <w:t xml:space="preserve">M.G.L. c. 15A, § 7A – Board of higher education; performance measurement system: </w:t>
      </w:r>
      <w:r w:rsidRPr="00B14A49">
        <w:rPr>
          <w:color w:val="000000"/>
        </w:rPr>
        <w:t xml:space="preserve">This section establishes a performance measurement system for public higher education institutions to ensure accountability and evaluate their effectiveness. The board of higher education, in consultation with institutions, is tasked with developing this system, including specific performance measures and identifying peer institutions for comparison. The objectives include improving affordability, student access, workforce responsiveness, cost-effectiveness, and fundraising, with annual evaluations and improvement plans for institutions that fail to meet </w:t>
      </w:r>
      <w:r w:rsidRPr="00B14A49">
        <w:rPr>
          <w:color w:val="000000"/>
        </w:rPr>
        <w:lastRenderedPageBreak/>
        <w:t>objectives. The University of Massachusetts also has its own performance measurement system with similar goals.</w:t>
      </w:r>
    </w:p>
    <w:p w14:paraId="04180B9E" w14:textId="77777777" w:rsidR="00B63631" w:rsidRPr="00B14A49" w:rsidRDefault="00B63631" w:rsidP="00B63631">
      <w:pPr>
        <w:pStyle w:val="NormalWeb"/>
        <w:spacing w:before="0" w:beforeAutospacing="0" w:after="160" w:afterAutospacing="0"/>
      </w:pPr>
      <w:r w:rsidRPr="00B14A49">
        <w:rPr>
          <w:i/>
          <w:iCs/>
          <w:color w:val="000000"/>
        </w:rPr>
        <w:t xml:space="preserve">M.G.L. c. 15A, § 19 – Tuition and fee waiver program; guidelines; annual report: </w:t>
      </w:r>
      <w:r w:rsidRPr="00B14A49">
        <w:rPr>
          <w:color w:val="000000"/>
        </w:rPr>
        <w:t xml:space="preserve">This section establishes a statewide tuition and fee waiver program for public higher education, administered by the council with specific guidelines for eligibility and allocation. It designates categories, such as veterans and National Guard members, for waivers, with the Commonwealth bearing the cost for National Guard members. The section also mandates full tuition waivers for certain individuals, including clients of the Massachusetts Rehabilitation Commission and Blind Commission, as well as adopted children or those in </w:t>
      </w:r>
      <w:proofErr w:type="gramStart"/>
      <w:r w:rsidRPr="00B14A49">
        <w:rPr>
          <w:color w:val="000000"/>
        </w:rPr>
        <w:t>the custody</w:t>
      </w:r>
      <w:proofErr w:type="gramEnd"/>
      <w:r w:rsidRPr="00B14A49">
        <w:rPr>
          <w:color w:val="000000"/>
        </w:rPr>
        <w:t xml:space="preserve"> of the Department of Children and Families. Finally, it outlines a grant program for paraprofessionals in public schools pursuing teaching degrees, particularly in high-need subjects, with a commitment to teaching in the Commonwealth upon certification.</w:t>
      </w:r>
    </w:p>
    <w:p w14:paraId="29825CBB" w14:textId="77777777" w:rsidR="00B63631" w:rsidRPr="00B14A49" w:rsidRDefault="00B63631" w:rsidP="00B63631">
      <w:pPr>
        <w:pStyle w:val="NormalWeb"/>
        <w:spacing w:before="0" w:beforeAutospacing="0" w:after="160" w:afterAutospacing="0"/>
      </w:pPr>
      <w:r w:rsidRPr="00B14A49">
        <w:rPr>
          <w:i/>
          <w:iCs/>
          <w:color w:val="000000"/>
        </w:rPr>
        <w:t>M.G.L. c. 71B, § 2 –</w:t>
      </w:r>
      <w:r w:rsidRPr="00B14A49">
        <w:rPr>
          <w:color w:val="000000"/>
        </w:rPr>
        <w:t>This section outlines regulations for educational programs for children with disabilities, emphasizing a flexible definition of disability and ensuring a free and appropriate public education in the least restrictive environment. It details various program options for special education students, including transition services for those aged 14 and older. It allows 18–21-year-olds with severe disabilities to access higher education programs as an approved special education service.</w:t>
      </w:r>
    </w:p>
    <w:p w14:paraId="092C2B7B" w14:textId="77777777" w:rsidR="00B63631" w:rsidRPr="00B14A49" w:rsidRDefault="00B63631" w:rsidP="00B63631">
      <w:pPr>
        <w:pStyle w:val="NormalWeb"/>
        <w:spacing w:before="0" w:beforeAutospacing="0" w:after="160" w:afterAutospacing="0"/>
      </w:pPr>
      <w:r w:rsidRPr="00B14A49">
        <w:rPr>
          <w:i/>
          <w:iCs/>
          <w:color w:val="000000"/>
        </w:rPr>
        <w:t xml:space="preserve">M.G.L. c. 71B, § 17 – </w:t>
      </w:r>
      <w:r w:rsidRPr="00B14A49">
        <w:rPr>
          <w:color w:val="000000"/>
        </w:rPr>
        <w:t>This section establishes a discretionary grant program for school committees and public higher education institutions to offer inclusive concurrent enrollment for 18–21-year-olds with severe intellectual or developmental disabilities. This program aims to help eligible students transition to post-school activities and competitive employment, with a focus on improving academic and functional achievement. It supports access to inclusive higher education, participation in courses and campus life, preparation for employment, and provides tuition waivers and necessary support.</w:t>
      </w:r>
    </w:p>
    <w:p w14:paraId="7E8CD456" w14:textId="77777777" w:rsidR="00B63631" w:rsidRPr="00B14A49" w:rsidRDefault="00B63631" w:rsidP="00B63631">
      <w:pPr>
        <w:pStyle w:val="NormalWeb"/>
        <w:spacing w:before="0" w:beforeAutospacing="0" w:after="160" w:afterAutospacing="0"/>
      </w:pPr>
      <w:r w:rsidRPr="00B14A49">
        <w:rPr>
          <w:b/>
          <w:bCs/>
          <w:color w:val="000000"/>
          <w:u w:val="single"/>
        </w:rPr>
        <w:t>SUMMARY:</w:t>
      </w:r>
    </w:p>
    <w:p w14:paraId="7BBAF275" w14:textId="77777777" w:rsidR="00B63631" w:rsidRPr="00B14A49" w:rsidRDefault="00B63631" w:rsidP="00B63631">
      <w:pPr>
        <w:pStyle w:val="NormalWeb"/>
        <w:spacing w:before="0" w:beforeAutospacing="0" w:after="160" w:afterAutospacing="0"/>
      </w:pPr>
      <w:r w:rsidRPr="00B14A49">
        <w:rPr>
          <w:color w:val="000000"/>
        </w:rPr>
        <w:t>This bill makes changes to the mission of the Commonwealth's public higher education system to expand educational opportunities for students with severe intellectual disabilities, developmental disabilities, and autism. The bill requires that when the trustees of a state university or community college develop plans for expansion of their mission or school profile, such plans must include provisions to ensure continuing access for students with intellectual disabilities, developmental disabilities, and autism. It also introduces “improved access” as a new performance indicator for institutions. </w:t>
      </w:r>
    </w:p>
    <w:p w14:paraId="4DF45F39" w14:textId="77777777" w:rsidR="00B63631" w:rsidRPr="00B14A49" w:rsidRDefault="00B63631" w:rsidP="00B63631">
      <w:pPr>
        <w:pStyle w:val="NormalWeb"/>
        <w:spacing w:before="0" w:beforeAutospacing="0" w:after="160" w:afterAutospacing="0"/>
      </w:pPr>
      <w:r w:rsidRPr="00B14A49">
        <w:rPr>
          <w:color w:val="000000"/>
        </w:rPr>
        <w:t xml:space="preserve">Students with severe intellectual disabilities, autism, and developmental disabilities at public higher education institutions will be allowed to enroll in credit and non-credit courses without being required to take any standardized tests, meet minimum academic requirements, or have a high school diploma or equivalent. It also requires that these students receive the necessary supports and services to be able to enroll in these courses. The board is required to ensure that residence life is inclusive and that necessary </w:t>
      </w:r>
      <w:proofErr w:type="gramStart"/>
      <w:r w:rsidRPr="00B14A49">
        <w:rPr>
          <w:color w:val="000000"/>
        </w:rPr>
        <w:t>accommodations</w:t>
      </w:r>
      <w:proofErr w:type="gramEnd"/>
      <w:r w:rsidRPr="00B14A49">
        <w:rPr>
          <w:color w:val="000000"/>
        </w:rPr>
        <w:t xml:space="preserve"> and </w:t>
      </w:r>
      <w:proofErr w:type="gramStart"/>
      <w:r w:rsidRPr="00B14A49">
        <w:rPr>
          <w:color w:val="000000"/>
        </w:rPr>
        <w:t>supports</w:t>
      </w:r>
      <w:proofErr w:type="gramEnd"/>
      <w:r w:rsidRPr="00B14A49">
        <w:rPr>
          <w:color w:val="000000"/>
        </w:rPr>
        <w:t xml:space="preserve"> are available for students with disabilities who wish to live on campus.</w:t>
      </w:r>
    </w:p>
    <w:p w14:paraId="32F5FD20" w14:textId="77777777" w:rsidR="00B63631" w:rsidRPr="00B14A49" w:rsidRDefault="00B63631" w:rsidP="00B63631">
      <w:pPr>
        <w:pStyle w:val="NormalWeb"/>
        <w:spacing w:before="0" w:beforeAutospacing="0" w:after="160" w:afterAutospacing="0"/>
      </w:pPr>
      <w:r w:rsidRPr="00B14A49">
        <w:rPr>
          <w:color w:val="000000"/>
        </w:rPr>
        <w:t xml:space="preserve">The bill adds an additional entitlement for students receiving special education services, stating that students aged 18-22 are entitled to enroll in regular courses at higher education institutions </w:t>
      </w:r>
      <w:r w:rsidRPr="00B14A49">
        <w:rPr>
          <w:color w:val="000000"/>
        </w:rPr>
        <w:lastRenderedPageBreak/>
        <w:t>and participate in programs to develop skills for independent living, careers, and accessing community services and medical care. </w:t>
      </w:r>
    </w:p>
    <w:p w14:paraId="1E259373" w14:textId="6D036B9D" w:rsidR="001B0220" w:rsidRPr="009F7252" w:rsidRDefault="001B0220" w:rsidP="00B63631">
      <w:pPr>
        <w:pStyle w:val="NormalWeb"/>
        <w:spacing w:before="0" w:beforeAutospacing="0" w:after="160" w:afterAutospacing="0"/>
      </w:pPr>
    </w:p>
    <w:sectPr w:rsidR="001B0220" w:rsidRPr="009F7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1B0"/>
    <w:multiLevelType w:val="hybridMultilevel"/>
    <w:tmpl w:val="F21A6234"/>
    <w:lvl w:ilvl="0" w:tplc="C3C868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6B27"/>
    <w:multiLevelType w:val="multilevel"/>
    <w:tmpl w:val="2F90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E423C"/>
    <w:multiLevelType w:val="hybridMultilevel"/>
    <w:tmpl w:val="066E0590"/>
    <w:lvl w:ilvl="0" w:tplc="D8C0C04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592735">
    <w:abstractNumId w:val="2"/>
  </w:num>
  <w:num w:numId="2" w16cid:durableId="306516174">
    <w:abstractNumId w:val="0"/>
  </w:num>
  <w:num w:numId="3" w16cid:durableId="771781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0D"/>
    <w:rsid w:val="0000245E"/>
    <w:rsid w:val="00064AC1"/>
    <w:rsid w:val="00070FFC"/>
    <w:rsid w:val="000812EB"/>
    <w:rsid w:val="000B3D15"/>
    <w:rsid w:val="000D0096"/>
    <w:rsid w:val="0013310B"/>
    <w:rsid w:val="00154827"/>
    <w:rsid w:val="001A02E5"/>
    <w:rsid w:val="001B0220"/>
    <w:rsid w:val="001C57CD"/>
    <w:rsid w:val="00226E9F"/>
    <w:rsid w:val="00247214"/>
    <w:rsid w:val="00270613"/>
    <w:rsid w:val="002A3E55"/>
    <w:rsid w:val="00302E90"/>
    <w:rsid w:val="003069AE"/>
    <w:rsid w:val="00365B56"/>
    <w:rsid w:val="003B56CF"/>
    <w:rsid w:val="00407B92"/>
    <w:rsid w:val="0043693B"/>
    <w:rsid w:val="00454AE1"/>
    <w:rsid w:val="004614B8"/>
    <w:rsid w:val="00465BFF"/>
    <w:rsid w:val="00480365"/>
    <w:rsid w:val="0048514A"/>
    <w:rsid w:val="00490169"/>
    <w:rsid w:val="004C70FC"/>
    <w:rsid w:val="004D6BB4"/>
    <w:rsid w:val="005001FE"/>
    <w:rsid w:val="00521B52"/>
    <w:rsid w:val="00522ABF"/>
    <w:rsid w:val="005258F2"/>
    <w:rsid w:val="00550D0D"/>
    <w:rsid w:val="00571F18"/>
    <w:rsid w:val="005729BB"/>
    <w:rsid w:val="005B14F2"/>
    <w:rsid w:val="005F3BCE"/>
    <w:rsid w:val="006043F7"/>
    <w:rsid w:val="0060666E"/>
    <w:rsid w:val="006C2E39"/>
    <w:rsid w:val="00724DCB"/>
    <w:rsid w:val="007341B0"/>
    <w:rsid w:val="007739F7"/>
    <w:rsid w:val="007B3211"/>
    <w:rsid w:val="007B7D2E"/>
    <w:rsid w:val="007D3903"/>
    <w:rsid w:val="007D6D2E"/>
    <w:rsid w:val="007E5827"/>
    <w:rsid w:val="00820AF4"/>
    <w:rsid w:val="00823FBB"/>
    <w:rsid w:val="00837617"/>
    <w:rsid w:val="00863E99"/>
    <w:rsid w:val="00891946"/>
    <w:rsid w:val="008B785D"/>
    <w:rsid w:val="008E3329"/>
    <w:rsid w:val="009058F2"/>
    <w:rsid w:val="00962B7E"/>
    <w:rsid w:val="00963EE2"/>
    <w:rsid w:val="00965B12"/>
    <w:rsid w:val="009A5BF4"/>
    <w:rsid w:val="009C2418"/>
    <w:rsid w:val="009C40EC"/>
    <w:rsid w:val="009E1E17"/>
    <w:rsid w:val="009F15E7"/>
    <w:rsid w:val="009F5A7A"/>
    <w:rsid w:val="009F7252"/>
    <w:rsid w:val="00A4736C"/>
    <w:rsid w:val="00A92B91"/>
    <w:rsid w:val="00A968B1"/>
    <w:rsid w:val="00AC55E5"/>
    <w:rsid w:val="00AE02D3"/>
    <w:rsid w:val="00AE4D25"/>
    <w:rsid w:val="00B35750"/>
    <w:rsid w:val="00B419B7"/>
    <w:rsid w:val="00B63631"/>
    <w:rsid w:val="00B70E98"/>
    <w:rsid w:val="00BB7BAB"/>
    <w:rsid w:val="00BC58D1"/>
    <w:rsid w:val="00C10FB0"/>
    <w:rsid w:val="00C23099"/>
    <w:rsid w:val="00C24661"/>
    <w:rsid w:val="00C81B34"/>
    <w:rsid w:val="00C854BD"/>
    <w:rsid w:val="00CA1737"/>
    <w:rsid w:val="00CB0726"/>
    <w:rsid w:val="00CC53D0"/>
    <w:rsid w:val="00CE14EF"/>
    <w:rsid w:val="00D119BB"/>
    <w:rsid w:val="00D314AA"/>
    <w:rsid w:val="00D43D79"/>
    <w:rsid w:val="00D8346D"/>
    <w:rsid w:val="00DA00AD"/>
    <w:rsid w:val="00DA61C1"/>
    <w:rsid w:val="00DE7471"/>
    <w:rsid w:val="00DF6586"/>
    <w:rsid w:val="00E11BF4"/>
    <w:rsid w:val="00E32422"/>
    <w:rsid w:val="00E43BCA"/>
    <w:rsid w:val="00F1086C"/>
    <w:rsid w:val="00F31697"/>
    <w:rsid w:val="00F40EF7"/>
    <w:rsid w:val="00F42986"/>
    <w:rsid w:val="00F475A4"/>
    <w:rsid w:val="00F71577"/>
    <w:rsid w:val="00F768B7"/>
    <w:rsid w:val="00F80548"/>
    <w:rsid w:val="00F82025"/>
    <w:rsid w:val="0DF1CB1F"/>
    <w:rsid w:val="163461EE"/>
    <w:rsid w:val="1B877664"/>
    <w:rsid w:val="1D50B38C"/>
    <w:rsid w:val="22BA17BC"/>
    <w:rsid w:val="24521354"/>
    <w:rsid w:val="2F3D0380"/>
    <w:rsid w:val="30F6A9B4"/>
    <w:rsid w:val="3D5FB6C7"/>
    <w:rsid w:val="3E5F24C5"/>
    <w:rsid w:val="3EAD3D69"/>
    <w:rsid w:val="4444397B"/>
    <w:rsid w:val="44CB6455"/>
    <w:rsid w:val="45F0C33F"/>
    <w:rsid w:val="465DAA69"/>
    <w:rsid w:val="49ADB878"/>
    <w:rsid w:val="4E20396C"/>
    <w:rsid w:val="5078434F"/>
    <w:rsid w:val="51348894"/>
    <w:rsid w:val="5A43003F"/>
    <w:rsid w:val="5B8A12BC"/>
    <w:rsid w:val="5B8D0DD9"/>
    <w:rsid w:val="68CF54F5"/>
    <w:rsid w:val="76FD861B"/>
    <w:rsid w:val="77CA4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C414"/>
  <w15:chartTrackingRefBased/>
  <w15:docId w15:val="{960ACE1E-182D-4227-8022-B5DEA1EA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D0D"/>
  </w:style>
  <w:style w:type="paragraph" w:styleId="Heading1">
    <w:name w:val="heading 1"/>
    <w:basedOn w:val="Normal"/>
    <w:next w:val="Normal"/>
    <w:link w:val="Heading1Char"/>
    <w:uiPriority w:val="9"/>
    <w:qFormat/>
    <w:rsid w:val="00550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D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D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D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D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D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D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D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D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D0D"/>
    <w:rPr>
      <w:rFonts w:eastAsiaTheme="majorEastAsia" w:cstheme="majorBidi"/>
      <w:color w:val="272727" w:themeColor="text1" w:themeTint="D8"/>
    </w:rPr>
  </w:style>
  <w:style w:type="paragraph" w:styleId="Title">
    <w:name w:val="Title"/>
    <w:basedOn w:val="Normal"/>
    <w:next w:val="Normal"/>
    <w:link w:val="TitleChar"/>
    <w:uiPriority w:val="10"/>
    <w:qFormat/>
    <w:rsid w:val="00550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D0D"/>
    <w:pPr>
      <w:spacing w:before="160"/>
      <w:jc w:val="center"/>
    </w:pPr>
    <w:rPr>
      <w:i/>
      <w:iCs/>
      <w:color w:val="404040" w:themeColor="text1" w:themeTint="BF"/>
    </w:rPr>
  </w:style>
  <w:style w:type="character" w:customStyle="1" w:styleId="QuoteChar">
    <w:name w:val="Quote Char"/>
    <w:basedOn w:val="DefaultParagraphFont"/>
    <w:link w:val="Quote"/>
    <w:uiPriority w:val="29"/>
    <w:rsid w:val="00550D0D"/>
    <w:rPr>
      <w:i/>
      <w:iCs/>
      <w:color w:val="404040" w:themeColor="text1" w:themeTint="BF"/>
    </w:rPr>
  </w:style>
  <w:style w:type="paragraph" w:styleId="ListParagraph">
    <w:name w:val="List Paragraph"/>
    <w:basedOn w:val="Normal"/>
    <w:uiPriority w:val="34"/>
    <w:qFormat/>
    <w:rsid w:val="00550D0D"/>
    <w:pPr>
      <w:ind w:left="720"/>
      <w:contextualSpacing/>
    </w:pPr>
  </w:style>
  <w:style w:type="character" w:styleId="IntenseEmphasis">
    <w:name w:val="Intense Emphasis"/>
    <w:basedOn w:val="DefaultParagraphFont"/>
    <w:uiPriority w:val="21"/>
    <w:qFormat/>
    <w:rsid w:val="00550D0D"/>
    <w:rPr>
      <w:i/>
      <w:iCs/>
      <w:color w:val="0F4761" w:themeColor="accent1" w:themeShade="BF"/>
    </w:rPr>
  </w:style>
  <w:style w:type="paragraph" w:styleId="IntenseQuote">
    <w:name w:val="Intense Quote"/>
    <w:basedOn w:val="Normal"/>
    <w:next w:val="Normal"/>
    <w:link w:val="IntenseQuoteChar"/>
    <w:uiPriority w:val="30"/>
    <w:qFormat/>
    <w:rsid w:val="00550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D0D"/>
    <w:rPr>
      <w:i/>
      <w:iCs/>
      <w:color w:val="0F4761" w:themeColor="accent1" w:themeShade="BF"/>
    </w:rPr>
  </w:style>
  <w:style w:type="character" w:styleId="IntenseReference">
    <w:name w:val="Intense Reference"/>
    <w:basedOn w:val="DefaultParagraphFont"/>
    <w:uiPriority w:val="32"/>
    <w:qFormat/>
    <w:rsid w:val="00550D0D"/>
    <w:rPr>
      <w:b/>
      <w:bCs/>
      <w:smallCaps/>
      <w:color w:val="0F4761" w:themeColor="accent1" w:themeShade="BF"/>
      <w:spacing w:val="5"/>
    </w:rPr>
  </w:style>
  <w:style w:type="paragraph" w:styleId="NormalWeb">
    <w:name w:val="Normal (Web)"/>
    <w:basedOn w:val="Normal"/>
    <w:uiPriority w:val="99"/>
    <w:unhideWhenUsed/>
    <w:rsid w:val="000B3D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165698">
      <w:bodyDiv w:val="1"/>
      <w:marLeft w:val="0"/>
      <w:marRight w:val="0"/>
      <w:marTop w:val="0"/>
      <w:marBottom w:val="0"/>
      <w:divBdr>
        <w:top w:val="none" w:sz="0" w:space="0" w:color="auto"/>
        <w:left w:val="none" w:sz="0" w:space="0" w:color="auto"/>
        <w:bottom w:val="none" w:sz="0" w:space="0" w:color="auto"/>
        <w:right w:val="none" w:sz="0" w:space="0" w:color="auto"/>
      </w:divBdr>
    </w:div>
    <w:div w:id="1257833498">
      <w:bodyDiv w:val="1"/>
      <w:marLeft w:val="0"/>
      <w:marRight w:val="0"/>
      <w:marTop w:val="0"/>
      <w:marBottom w:val="0"/>
      <w:divBdr>
        <w:top w:val="none" w:sz="0" w:space="0" w:color="auto"/>
        <w:left w:val="none" w:sz="0" w:space="0" w:color="auto"/>
        <w:bottom w:val="none" w:sz="0" w:space="0" w:color="auto"/>
        <w:right w:val="none" w:sz="0" w:space="0" w:color="auto"/>
      </w:divBdr>
    </w:div>
    <w:div w:id="192572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49</TotalTime>
  <Pages>3</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Doppel, Emily (HOU)</cp:lastModifiedBy>
  <cp:revision>99</cp:revision>
  <dcterms:created xsi:type="dcterms:W3CDTF">2025-03-24T14:38:00Z</dcterms:created>
  <dcterms:modified xsi:type="dcterms:W3CDTF">2025-09-11T16:39:00Z</dcterms:modified>
</cp:coreProperties>
</file>