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EEBE1E" w14:textId="074A2E06" w:rsidR="0035735A" w:rsidRPr="0035735A" w:rsidRDefault="0035735A" w:rsidP="0035735A">
      <w:pPr>
        <w:jc w:val="center"/>
        <w:rPr>
          <w:rFonts w:ascii="Times New Roman" w:hAnsi="Times New Roman" w:cs="Times New Roman"/>
        </w:rPr>
      </w:pPr>
      <w:r w:rsidRPr="0035735A">
        <w:rPr>
          <w:rFonts w:ascii="Times New Roman" w:hAnsi="Times New Roman" w:cs="Times New Roman"/>
          <w:b/>
          <w:bCs/>
        </w:rPr>
        <w:t>Joint Committee on Higher Education</w:t>
      </w:r>
    </w:p>
    <w:p w14:paraId="30004FE7" w14:textId="43D449D0" w:rsidR="0035735A" w:rsidRPr="0035735A" w:rsidRDefault="0035735A" w:rsidP="0035735A">
      <w:pPr>
        <w:jc w:val="center"/>
        <w:rPr>
          <w:rFonts w:ascii="Times New Roman" w:hAnsi="Times New Roman" w:cs="Times New Roman"/>
        </w:rPr>
      </w:pPr>
      <w:r w:rsidRPr="0035735A">
        <w:rPr>
          <w:rFonts w:ascii="Times New Roman" w:hAnsi="Times New Roman" w:cs="Times New Roman"/>
          <w:b/>
          <w:bCs/>
        </w:rPr>
        <w:t>Bill Summary</w:t>
      </w:r>
    </w:p>
    <w:p w14:paraId="619D91EA" w14:textId="30DF72F7" w:rsidR="0035735A" w:rsidRPr="0035735A" w:rsidRDefault="0035735A" w:rsidP="0035735A">
      <w:pPr>
        <w:rPr>
          <w:rFonts w:ascii="Times New Roman" w:hAnsi="Times New Roman" w:cs="Times New Roman"/>
        </w:rPr>
      </w:pPr>
      <w:r w:rsidRPr="0035735A">
        <w:rPr>
          <w:rFonts w:ascii="Times New Roman" w:hAnsi="Times New Roman" w:cs="Times New Roman"/>
          <w:noProof/>
        </w:rPr>
        <w:drawing>
          <wp:inline distT="0" distB="0" distL="0" distR="0" wp14:anchorId="4B02010A" wp14:editId="37A51AB9">
            <wp:extent cx="5937250" cy="50800"/>
            <wp:effectExtent l="0" t="0" r="6350" b="6350"/>
            <wp:docPr id="1937866095" name="Picture 2" descr="Straight Connector 1, Shap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Straight Connector 1, Shap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250" cy="5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5735A">
        <w:rPr>
          <w:rFonts w:ascii="Times New Roman" w:hAnsi="Times New Roman" w:cs="Times New Roman"/>
        </w:rPr>
        <w:t> </w:t>
      </w:r>
    </w:p>
    <w:p w14:paraId="74F3B524" w14:textId="77777777" w:rsidR="0035735A" w:rsidRPr="0035735A" w:rsidRDefault="0035735A" w:rsidP="0035735A">
      <w:pPr>
        <w:rPr>
          <w:rFonts w:ascii="Times New Roman" w:hAnsi="Times New Roman" w:cs="Times New Roman"/>
        </w:rPr>
      </w:pPr>
      <w:r w:rsidRPr="0035735A">
        <w:rPr>
          <w:rFonts w:ascii="Times New Roman" w:hAnsi="Times New Roman" w:cs="Times New Roman"/>
          <w:b/>
          <w:bCs/>
          <w:u w:val="single"/>
        </w:rPr>
        <w:t>BILL NUMBER:</w:t>
      </w:r>
      <w:r w:rsidRPr="0035735A">
        <w:rPr>
          <w:rFonts w:ascii="Times New Roman" w:hAnsi="Times New Roman" w:cs="Times New Roman"/>
        </w:rPr>
        <w:t xml:space="preserve"> House, No. 1450 </w:t>
      </w:r>
    </w:p>
    <w:p w14:paraId="44791EF0" w14:textId="77777777" w:rsidR="0035735A" w:rsidRPr="0035735A" w:rsidRDefault="0035735A" w:rsidP="0035735A">
      <w:pPr>
        <w:rPr>
          <w:rFonts w:ascii="Times New Roman" w:hAnsi="Times New Roman" w:cs="Times New Roman"/>
        </w:rPr>
      </w:pPr>
      <w:r w:rsidRPr="0035735A">
        <w:rPr>
          <w:rFonts w:ascii="Times New Roman" w:hAnsi="Times New Roman" w:cs="Times New Roman"/>
          <w:b/>
          <w:bCs/>
          <w:u w:val="single"/>
        </w:rPr>
        <w:t>TITLE:</w:t>
      </w:r>
      <w:r w:rsidRPr="0035735A">
        <w:rPr>
          <w:rFonts w:ascii="Times New Roman" w:hAnsi="Times New Roman" w:cs="Times New Roman"/>
        </w:rPr>
        <w:t xml:space="preserve"> An Act </w:t>
      </w:r>
      <w:proofErr w:type="gramStart"/>
      <w:r w:rsidRPr="0035735A">
        <w:rPr>
          <w:rFonts w:ascii="Times New Roman" w:hAnsi="Times New Roman" w:cs="Times New Roman"/>
        </w:rPr>
        <w:t>relative</w:t>
      </w:r>
      <w:proofErr w:type="gramEnd"/>
      <w:r w:rsidRPr="0035735A">
        <w:rPr>
          <w:rFonts w:ascii="Times New Roman" w:hAnsi="Times New Roman" w:cs="Times New Roman"/>
        </w:rPr>
        <w:t xml:space="preserve"> to in-state tuition </w:t>
      </w:r>
    </w:p>
    <w:p w14:paraId="75A4B693" w14:textId="77777777" w:rsidR="0035735A" w:rsidRPr="0035735A" w:rsidRDefault="0035735A" w:rsidP="0035735A">
      <w:pPr>
        <w:rPr>
          <w:rFonts w:ascii="Times New Roman" w:hAnsi="Times New Roman" w:cs="Times New Roman"/>
        </w:rPr>
      </w:pPr>
      <w:r w:rsidRPr="0035735A">
        <w:rPr>
          <w:rFonts w:ascii="Times New Roman" w:hAnsi="Times New Roman" w:cs="Times New Roman"/>
          <w:b/>
          <w:bCs/>
          <w:u w:val="single"/>
        </w:rPr>
        <w:t>SPONSORS:</w:t>
      </w:r>
      <w:r w:rsidRPr="0035735A">
        <w:rPr>
          <w:rFonts w:ascii="Times New Roman" w:hAnsi="Times New Roman" w:cs="Times New Roman"/>
        </w:rPr>
        <w:t xml:space="preserve"> Rep. Marc Lombardo (Billerica) </w:t>
      </w:r>
    </w:p>
    <w:p w14:paraId="4AFD19FE" w14:textId="77777777" w:rsidR="0035735A" w:rsidRPr="0035735A" w:rsidRDefault="0035735A" w:rsidP="0035735A">
      <w:pPr>
        <w:rPr>
          <w:rFonts w:ascii="Times New Roman" w:hAnsi="Times New Roman" w:cs="Times New Roman"/>
        </w:rPr>
      </w:pPr>
      <w:r w:rsidRPr="0035735A">
        <w:rPr>
          <w:rFonts w:ascii="Times New Roman" w:hAnsi="Times New Roman" w:cs="Times New Roman"/>
          <w:b/>
          <w:bCs/>
          <w:u w:val="single"/>
        </w:rPr>
        <w:t>HEARING DATE:</w:t>
      </w:r>
      <w:r w:rsidRPr="0035735A">
        <w:rPr>
          <w:rFonts w:ascii="Times New Roman" w:hAnsi="Times New Roman" w:cs="Times New Roman"/>
        </w:rPr>
        <w:t xml:space="preserve"> July 18</w:t>
      </w:r>
      <w:r w:rsidRPr="0035735A">
        <w:rPr>
          <w:rFonts w:ascii="Times New Roman" w:hAnsi="Times New Roman" w:cs="Times New Roman"/>
          <w:vertAlign w:val="superscript"/>
        </w:rPr>
        <w:t>th</w:t>
      </w:r>
      <w:r w:rsidRPr="0035735A">
        <w:rPr>
          <w:rFonts w:ascii="Times New Roman" w:hAnsi="Times New Roman" w:cs="Times New Roman"/>
        </w:rPr>
        <w:t>, 2025 </w:t>
      </w:r>
    </w:p>
    <w:p w14:paraId="6ADAF106" w14:textId="77777777" w:rsidR="0035735A" w:rsidRPr="0035735A" w:rsidRDefault="0035735A" w:rsidP="0035735A">
      <w:pPr>
        <w:rPr>
          <w:rFonts w:ascii="Times New Roman" w:hAnsi="Times New Roman" w:cs="Times New Roman"/>
        </w:rPr>
      </w:pPr>
      <w:r w:rsidRPr="0035735A">
        <w:rPr>
          <w:rFonts w:ascii="Times New Roman" w:hAnsi="Times New Roman" w:cs="Times New Roman"/>
          <w:b/>
          <w:bCs/>
          <w:u w:val="single"/>
        </w:rPr>
        <w:t>REPORTING DEADLINE:</w:t>
      </w:r>
      <w:r w:rsidRPr="0035735A">
        <w:rPr>
          <w:rFonts w:ascii="Times New Roman" w:hAnsi="Times New Roman" w:cs="Times New Roman"/>
        </w:rPr>
        <w:t xml:space="preserve"> September 16</w:t>
      </w:r>
      <w:r w:rsidRPr="0035735A">
        <w:rPr>
          <w:rFonts w:ascii="Times New Roman" w:hAnsi="Times New Roman" w:cs="Times New Roman"/>
          <w:vertAlign w:val="superscript"/>
        </w:rPr>
        <w:t>th</w:t>
      </w:r>
      <w:r w:rsidRPr="0035735A">
        <w:rPr>
          <w:rFonts w:ascii="Times New Roman" w:hAnsi="Times New Roman" w:cs="Times New Roman"/>
        </w:rPr>
        <w:t>, 2025 </w:t>
      </w:r>
    </w:p>
    <w:p w14:paraId="6C5D6585" w14:textId="75B9F04C" w:rsidR="0035735A" w:rsidRPr="0035735A" w:rsidRDefault="0035735A" w:rsidP="0035735A">
      <w:pPr>
        <w:rPr>
          <w:rFonts w:ascii="Times New Roman" w:hAnsi="Times New Roman" w:cs="Times New Roman"/>
        </w:rPr>
      </w:pPr>
      <w:r w:rsidRPr="0035735A">
        <w:rPr>
          <w:rFonts w:ascii="Times New Roman" w:hAnsi="Times New Roman" w:cs="Times New Roman"/>
          <w:b/>
          <w:bCs/>
          <w:u w:val="single"/>
        </w:rPr>
        <w:t>PRIOR HISTORY:</w:t>
      </w:r>
      <w:r w:rsidRPr="0035735A">
        <w:rPr>
          <w:rFonts w:ascii="Times New Roman" w:hAnsi="Times New Roman" w:cs="Times New Roman"/>
        </w:rPr>
        <w:t> </w:t>
      </w:r>
    </w:p>
    <w:p w14:paraId="560C8059" w14:textId="296AADEA" w:rsidR="0035735A" w:rsidRPr="0035735A" w:rsidRDefault="0035735A" w:rsidP="0035735A">
      <w:pPr>
        <w:rPr>
          <w:rFonts w:ascii="Times New Roman" w:hAnsi="Times New Roman" w:cs="Times New Roman"/>
        </w:rPr>
      </w:pPr>
      <w:r w:rsidRPr="0035735A">
        <w:rPr>
          <w:rFonts w:ascii="Times New Roman" w:hAnsi="Times New Roman" w:cs="Times New Roman"/>
        </w:rPr>
        <w:t xml:space="preserve">2023-2024 (H.1279): </w:t>
      </w:r>
      <w:r w:rsidR="00DC2A85">
        <w:rPr>
          <w:rFonts w:ascii="Times New Roman" w:hAnsi="Times New Roman" w:cs="Times New Roman"/>
        </w:rPr>
        <w:t>Ordered to a House study</w:t>
      </w:r>
      <w:r w:rsidRPr="0035735A">
        <w:rPr>
          <w:rFonts w:ascii="Times New Roman" w:hAnsi="Times New Roman" w:cs="Times New Roman"/>
        </w:rPr>
        <w:t xml:space="preserve"> (H.4713). </w:t>
      </w:r>
    </w:p>
    <w:p w14:paraId="38A4B8DD" w14:textId="0F4E3A7E" w:rsidR="0035735A" w:rsidRPr="0035735A" w:rsidRDefault="0035735A" w:rsidP="0035735A">
      <w:pPr>
        <w:rPr>
          <w:rFonts w:ascii="Times New Roman" w:hAnsi="Times New Roman" w:cs="Times New Roman"/>
        </w:rPr>
      </w:pPr>
      <w:r w:rsidRPr="0035735A">
        <w:rPr>
          <w:rFonts w:ascii="Times New Roman" w:hAnsi="Times New Roman" w:cs="Times New Roman"/>
        </w:rPr>
        <w:t xml:space="preserve">2021-2022 (H.1348): </w:t>
      </w:r>
      <w:r w:rsidR="00DC2A85">
        <w:rPr>
          <w:rFonts w:ascii="Times New Roman" w:hAnsi="Times New Roman" w:cs="Times New Roman"/>
        </w:rPr>
        <w:t>Ordered to a House study</w:t>
      </w:r>
      <w:r w:rsidR="00DC2A85" w:rsidRPr="0035735A">
        <w:rPr>
          <w:rFonts w:ascii="Times New Roman" w:hAnsi="Times New Roman" w:cs="Times New Roman"/>
        </w:rPr>
        <w:t xml:space="preserve"> </w:t>
      </w:r>
      <w:r w:rsidRPr="0035735A">
        <w:rPr>
          <w:rFonts w:ascii="Times New Roman" w:hAnsi="Times New Roman" w:cs="Times New Roman"/>
        </w:rPr>
        <w:t>(H.5174). </w:t>
      </w:r>
    </w:p>
    <w:p w14:paraId="2254CAA8" w14:textId="2738881E" w:rsidR="0035735A" w:rsidRPr="0035735A" w:rsidRDefault="0035735A" w:rsidP="0035735A">
      <w:pPr>
        <w:rPr>
          <w:rFonts w:ascii="Times New Roman" w:hAnsi="Times New Roman" w:cs="Times New Roman"/>
        </w:rPr>
      </w:pPr>
      <w:r w:rsidRPr="0035735A">
        <w:rPr>
          <w:rFonts w:ascii="Times New Roman" w:hAnsi="Times New Roman" w:cs="Times New Roman"/>
        </w:rPr>
        <w:t xml:space="preserve">2019-2020 (H.1227): </w:t>
      </w:r>
      <w:r w:rsidR="00DC2A85">
        <w:rPr>
          <w:rFonts w:ascii="Times New Roman" w:hAnsi="Times New Roman" w:cs="Times New Roman"/>
        </w:rPr>
        <w:t>Ordered to a House study</w:t>
      </w:r>
      <w:r w:rsidR="00DC2A85" w:rsidRPr="0035735A">
        <w:rPr>
          <w:rFonts w:ascii="Times New Roman" w:hAnsi="Times New Roman" w:cs="Times New Roman"/>
        </w:rPr>
        <w:t xml:space="preserve"> </w:t>
      </w:r>
      <w:r w:rsidRPr="0035735A">
        <w:rPr>
          <w:rFonts w:ascii="Times New Roman" w:hAnsi="Times New Roman" w:cs="Times New Roman"/>
        </w:rPr>
        <w:t>(H.5125). </w:t>
      </w:r>
    </w:p>
    <w:p w14:paraId="29EF56BD" w14:textId="6547C17D" w:rsidR="0035735A" w:rsidRPr="0035735A" w:rsidRDefault="0035735A" w:rsidP="0035735A">
      <w:pPr>
        <w:rPr>
          <w:rFonts w:ascii="Times New Roman" w:hAnsi="Times New Roman" w:cs="Times New Roman"/>
        </w:rPr>
      </w:pPr>
      <w:r w:rsidRPr="0035735A">
        <w:rPr>
          <w:rFonts w:ascii="Times New Roman" w:hAnsi="Times New Roman" w:cs="Times New Roman"/>
        </w:rPr>
        <w:t xml:space="preserve">2017-2018 (H.637): </w:t>
      </w:r>
      <w:r w:rsidR="00DC2A85">
        <w:rPr>
          <w:rFonts w:ascii="Times New Roman" w:hAnsi="Times New Roman" w:cs="Times New Roman"/>
        </w:rPr>
        <w:t>Ordered to a House study</w:t>
      </w:r>
      <w:r w:rsidR="00DC2A85" w:rsidRPr="0035735A">
        <w:rPr>
          <w:rFonts w:ascii="Times New Roman" w:hAnsi="Times New Roman" w:cs="Times New Roman"/>
        </w:rPr>
        <w:t xml:space="preserve"> </w:t>
      </w:r>
      <w:r w:rsidRPr="0035735A">
        <w:rPr>
          <w:rFonts w:ascii="Times New Roman" w:hAnsi="Times New Roman" w:cs="Times New Roman"/>
        </w:rPr>
        <w:t>(H.4610). </w:t>
      </w:r>
    </w:p>
    <w:p w14:paraId="5DDF63FB" w14:textId="31E528AC" w:rsidR="0035735A" w:rsidRPr="0035735A" w:rsidRDefault="0035735A" w:rsidP="0035735A">
      <w:pPr>
        <w:rPr>
          <w:rFonts w:ascii="Times New Roman" w:hAnsi="Times New Roman" w:cs="Times New Roman"/>
        </w:rPr>
      </w:pPr>
      <w:r w:rsidRPr="0035735A">
        <w:rPr>
          <w:rFonts w:ascii="Times New Roman" w:hAnsi="Times New Roman" w:cs="Times New Roman"/>
        </w:rPr>
        <w:t xml:space="preserve">2015-2016 (H.1053): </w:t>
      </w:r>
      <w:r w:rsidR="00DC2A85">
        <w:rPr>
          <w:rFonts w:ascii="Times New Roman" w:hAnsi="Times New Roman" w:cs="Times New Roman"/>
        </w:rPr>
        <w:t>Ordered to a House study</w:t>
      </w:r>
      <w:r w:rsidR="00DC2A85" w:rsidRPr="0035735A">
        <w:rPr>
          <w:rFonts w:ascii="Times New Roman" w:hAnsi="Times New Roman" w:cs="Times New Roman"/>
        </w:rPr>
        <w:t xml:space="preserve"> </w:t>
      </w:r>
      <w:r w:rsidRPr="0035735A">
        <w:rPr>
          <w:rFonts w:ascii="Times New Roman" w:hAnsi="Times New Roman" w:cs="Times New Roman"/>
        </w:rPr>
        <w:t>(H.4228). </w:t>
      </w:r>
    </w:p>
    <w:p w14:paraId="5E0B6D6C" w14:textId="77777777" w:rsidR="0035735A" w:rsidRPr="0035735A" w:rsidRDefault="0035735A" w:rsidP="0035735A">
      <w:pPr>
        <w:rPr>
          <w:rFonts w:ascii="Times New Roman" w:hAnsi="Times New Roman" w:cs="Times New Roman"/>
        </w:rPr>
      </w:pPr>
      <w:r w:rsidRPr="0035735A">
        <w:rPr>
          <w:rFonts w:ascii="Times New Roman" w:hAnsi="Times New Roman" w:cs="Times New Roman"/>
          <w:b/>
          <w:bCs/>
          <w:u w:val="single"/>
        </w:rPr>
        <w:t>CURRENT LAW:</w:t>
      </w:r>
      <w:r w:rsidRPr="0035735A">
        <w:rPr>
          <w:rFonts w:ascii="Times New Roman" w:hAnsi="Times New Roman" w:cs="Times New Roman"/>
        </w:rPr>
        <w:t> </w:t>
      </w:r>
    </w:p>
    <w:p w14:paraId="7771AEE2" w14:textId="25C3D7D6" w:rsidR="0035735A" w:rsidRPr="0035735A" w:rsidRDefault="0035735A" w:rsidP="0035735A">
      <w:pPr>
        <w:rPr>
          <w:rFonts w:ascii="Times New Roman" w:hAnsi="Times New Roman" w:cs="Times New Roman"/>
        </w:rPr>
      </w:pPr>
      <w:r w:rsidRPr="0035735A">
        <w:rPr>
          <w:rFonts w:ascii="Times New Roman" w:hAnsi="Times New Roman" w:cs="Times New Roman"/>
          <w:i/>
          <w:iCs/>
        </w:rPr>
        <w:t xml:space="preserve">M.G.L. c. 15A § 9 — Powers and duties of the council: </w:t>
      </w:r>
      <w:r w:rsidR="005C108F" w:rsidRPr="005C108F">
        <w:rPr>
          <w:rFonts w:ascii="Times New Roman" w:hAnsi="Times New Roman" w:cs="Times New Roman"/>
        </w:rPr>
        <w:t>This section</w:t>
      </w:r>
      <w:r w:rsidR="005C108F">
        <w:rPr>
          <w:rFonts w:ascii="Times New Roman" w:hAnsi="Times New Roman" w:cs="Times New Roman"/>
          <w:i/>
          <w:iCs/>
        </w:rPr>
        <w:t xml:space="preserve"> </w:t>
      </w:r>
      <w:r w:rsidRPr="0035735A">
        <w:rPr>
          <w:rFonts w:ascii="Times New Roman" w:hAnsi="Times New Roman" w:cs="Times New Roman"/>
        </w:rPr>
        <w:t>outlines the powers and duties of the Board of Higher Education.  </w:t>
      </w:r>
    </w:p>
    <w:p w14:paraId="5F4F0E75" w14:textId="77777777" w:rsidR="0035735A" w:rsidRPr="0035735A" w:rsidRDefault="0035735A" w:rsidP="0035735A">
      <w:pPr>
        <w:rPr>
          <w:rFonts w:ascii="Times New Roman" w:hAnsi="Times New Roman" w:cs="Times New Roman"/>
        </w:rPr>
      </w:pPr>
      <w:r w:rsidRPr="0035735A">
        <w:rPr>
          <w:rFonts w:ascii="Times New Roman" w:hAnsi="Times New Roman" w:cs="Times New Roman"/>
          <w:b/>
          <w:bCs/>
          <w:u w:val="single"/>
        </w:rPr>
        <w:t>SUMMARY:</w:t>
      </w:r>
      <w:r w:rsidRPr="0035735A">
        <w:rPr>
          <w:rFonts w:ascii="Times New Roman" w:hAnsi="Times New Roman" w:cs="Times New Roman"/>
        </w:rPr>
        <w:t> </w:t>
      </w:r>
    </w:p>
    <w:p w14:paraId="76EA902B" w14:textId="17E12A9D" w:rsidR="0035735A" w:rsidRPr="0035735A" w:rsidRDefault="0035735A" w:rsidP="0035735A">
      <w:pPr>
        <w:rPr>
          <w:rFonts w:ascii="Times New Roman" w:hAnsi="Times New Roman" w:cs="Times New Roman"/>
        </w:rPr>
      </w:pPr>
      <w:r w:rsidRPr="0035735A">
        <w:rPr>
          <w:rFonts w:ascii="Times New Roman" w:hAnsi="Times New Roman" w:cs="Times New Roman"/>
        </w:rPr>
        <w:t>This bill amends Section 9 of Chapter 15A to provide that no resident who is not a citizen or permanent resident of the United States may be eligible for in-state tuition rates at Massachusetts higher education institutions.  </w:t>
      </w:r>
    </w:p>
    <w:p w14:paraId="1FA9B084" w14:textId="780BA8F1" w:rsidR="0035735A" w:rsidRPr="0035735A" w:rsidRDefault="0035735A" w:rsidP="0035735A">
      <w:pPr>
        <w:rPr>
          <w:rFonts w:ascii="Times New Roman" w:hAnsi="Times New Roman" w:cs="Times New Roman"/>
        </w:rPr>
      </w:pPr>
      <w:r w:rsidRPr="0035735A">
        <w:rPr>
          <w:rFonts w:ascii="Times New Roman" w:hAnsi="Times New Roman" w:cs="Times New Roman"/>
        </w:rPr>
        <w:t>The bill</w:t>
      </w:r>
      <w:r w:rsidR="00BD1CB2">
        <w:rPr>
          <w:rFonts w:ascii="Times New Roman" w:hAnsi="Times New Roman" w:cs="Times New Roman"/>
        </w:rPr>
        <w:t xml:space="preserve"> also</w:t>
      </w:r>
      <w:r w:rsidRPr="0035735A">
        <w:rPr>
          <w:rFonts w:ascii="Times New Roman" w:hAnsi="Times New Roman" w:cs="Times New Roman"/>
        </w:rPr>
        <w:t xml:space="preserve"> strikes the language of subsection (t) and inserts language that requires the Board of Higher Education to issue regulations defining “resident of the commonwealth”</w:t>
      </w:r>
      <w:r w:rsidR="00BD1CB2">
        <w:rPr>
          <w:rFonts w:ascii="Times New Roman" w:hAnsi="Times New Roman" w:cs="Times New Roman"/>
        </w:rPr>
        <w:t xml:space="preserve">— with </w:t>
      </w:r>
      <w:r w:rsidRPr="0035735A">
        <w:rPr>
          <w:rFonts w:ascii="Times New Roman" w:hAnsi="Times New Roman" w:cs="Times New Roman"/>
        </w:rPr>
        <w:t>a proviso that students at the Massachusetts Maritime Academy residing in other states that comprise the designated region shall be considered residents of Massachusetts for the purpose of admission and tuition</w:t>
      </w:r>
      <w:r w:rsidR="003B38F4">
        <w:rPr>
          <w:rFonts w:ascii="Times New Roman" w:hAnsi="Times New Roman" w:cs="Times New Roman"/>
        </w:rPr>
        <w:t>—</w:t>
      </w:r>
      <w:r w:rsidRPr="0035735A">
        <w:rPr>
          <w:rFonts w:ascii="Times New Roman" w:hAnsi="Times New Roman" w:cs="Times New Roman"/>
        </w:rPr>
        <w:t xml:space="preserve">and outlining procedures for institutions to verify residency and citizenship. </w:t>
      </w:r>
    </w:p>
    <w:p w14:paraId="47AC8DB1" w14:textId="77777777" w:rsidR="00965B12" w:rsidRDefault="00965B12"/>
    <w:sectPr w:rsidR="00965B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35A"/>
    <w:rsid w:val="00273D0B"/>
    <w:rsid w:val="0035735A"/>
    <w:rsid w:val="003B38F4"/>
    <w:rsid w:val="005C108F"/>
    <w:rsid w:val="007B3211"/>
    <w:rsid w:val="00965B12"/>
    <w:rsid w:val="00BD1CB2"/>
    <w:rsid w:val="00DC2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22EAF0"/>
  <w15:chartTrackingRefBased/>
  <w15:docId w15:val="{286AAB5B-09B1-462E-B4EA-CF4776151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573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573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5735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573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5735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573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573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573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573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573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573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5735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5735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5735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5735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5735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5735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5735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573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573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573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573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573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5735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5735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5735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573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5735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5735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208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54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74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8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43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47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5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0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8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2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67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6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77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0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39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72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61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56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22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21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71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7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37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7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4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0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48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58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1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83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84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52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98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66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67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21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35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208</Words>
  <Characters>1190</Characters>
  <Application>Microsoft Office Word</Application>
  <DocSecurity>0</DocSecurity>
  <Lines>9</Lines>
  <Paragraphs>2</Paragraphs>
  <ScaleCrop>false</ScaleCrop>
  <Company/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Armstrong, George (HOU)</dc:creator>
  <cp:keywords/>
  <dc:description/>
  <cp:lastModifiedBy>Armstrong, George (HOU)</cp:lastModifiedBy>
  <cp:revision>5</cp:revision>
  <dcterms:created xsi:type="dcterms:W3CDTF">2025-07-18T16:06:00Z</dcterms:created>
  <dcterms:modified xsi:type="dcterms:W3CDTF">2025-07-21T01:02:00Z</dcterms:modified>
</cp:coreProperties>
</file>