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D8B1" w14:textId="77777777" w:rsidR="00D601A3" w:rsidRPr="009F76C2" w:rsidRDefault="00D50365">
      <w:pPr>
        <w:jc w:val="center"/>
        <w:rPr>
          <w:b/>
          <w:bCs/>
          <w:sz w:val="22"/>
        </w:rPr>
      </w:pPr>
      <w:r w:rsidRPr="009F76C2">
        <w:rPr>
          <w:b/>
          <w:bCs/>
          <w:sz w:val="22"/>
        </w:rPr>
        <w:t>Joint Committee on Higher Education</w:t>
      </w:r>
    </w:p>
    <w:p w14:paraId="4E3DD8B2" w14:textId="77777777" w:rsidR="00D601A3" w:rsidRPr="009F76C2" w:rsidRDefault="00D50365">
      <w:pPr>
        <w:jc w:val="center"/>
        <w:rPr>
          <w:b/>
          <w:bCs/>
          <w:sz w:val="22"/>
        </w:rPr>
      </w:pPr>
      <w:r w:rsidRPr="009F76C2">
        <w:rPr>
          <w:b/>
          <w:bCs/>
          <w:sz w:val="22"/>
        </w:rPr>
        <w:t>Bill Summary</w:t>
      </w:r>
    </w:p>
    <w:p w14:paraId="4E3DD8B4" w14:textId="69CFBEA0" w:rsidR="00D601A3" w:rsidRPr="009F76C2" w:rsidRDefault="00D50365" w:rsidP="009F76C2">
      <w:pPr>
        <w:jc w:val="center"/>
        <w:rPr>
          <w:sz w:val="22"/>
        </w:rPr>
      </w:pPr>
      <w:r w:rsidRPr="009F76C2">
        <w:rPr>
          <w:noProof/>
          <w:sz w:val="22"/>
        </w:rPr>
        <mc:AlternateContent>
          <mc:Choice Requires="wps">
            <w:drawing>
              <wp:anchor distT="0" distB="0" distL="114300" distR="114300" simplePos="0" relativeHeight="251658240" behindDoc="0" locked="0" layoutInCell="1" allowOverlap="1" wp14:anchorId="4E3DD8B1" wp14:editId="4E3DD8B2">
                <wp:simplePos x="0" y="0"/>
                <wp:positionH relativeFrom="margin">
                  <wp:align>right</wp:align>
                </wp:positionH>
                <wp:positionV relativeFrom="paragraph">
                  <wp:posOffset>190496</wp:posOffset>
                </wp:positionV>
                <wp:extent cx="5892795" cy="6356"/>
                <wp:effectExtent l="0" t="0" r="31755" b="31744"/>
                <wp:wrapNone/>
                <wp:docPr id="1366467114" name="Straight Connector 1"/>
                <wp:cNvGraphicFramePr/>
                <a:graphic xmlns:a="http://schemas.openxmlformats.org/drawingml/2006/main">
                  <a:graphicData uri="http://schemas.microsoft.com/office/word/2010/wordprocessingShape">
                    <wps:wsp>
                      <wps:cNvCnPr/>
                      <wps:spPr>
                        <a:xfrm>
                          <a:off x="0" y="0"/>
                          <a:ext cx="5892795" cy="6356"/>
                        </a:xfrm>
                        <a:prstGeom prst="straightConnector1">
                          <a:avLst/>
                        </a:prstGeom>
                        <a:noFill/>
                        <a:ln w="12701" cap="flat">
                          <a:solidFill>
                            <a:srgbClr val="156082"/>
                          </a:solidFill>
                          <a:prstDash val="solid"/>
                          <a:miter/>
                        </a:ln>
                      </wps:spPr>
                      <wps:bodyPr/>
                    </wps:wsp>
                  </a:graphicData>
                </a:graphic>
              </wp:anchor>
            </w:drawing>
          </mc:Choice>
          <mc:Fallback>
            <w:pict>
              <v:shapetype w14:anchorId="255998D6" id="_x0000_t32" coordsize="21600,21600" o:spt="32" o:oned="t" path="m,l21600,21600e" filled="f">
                <v:path arrowok="t" fillok="f" o:connecttype="none"/>
                <o:lock v:ext="edit" shapetype="t"/>
              </v:shapetype>
              <v:shape id="Straight Connector 1" o:spid="_x0000_s1026" type="#_x0000_t32" style="position:absolute;margin-left:412.8pt;margin-top:15pt;width:464pt;height:.5pt;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" strokecolor="#156082" strokeweight=".35281mm">
                <v:stroke joinstyle="miter"/>
                <w10:wrap anchorx="margin"/>
              </v:shape>
            </w:pict>
          </mc:Fallback>
        </mc:AlternateContent>
      </w:r>
    </w:p>
    <w:p w14:paraId="5D45263A" w14:textId="77777777" w:rsidR="00566250" w:rsidRPr="00B14A49" w:rsidRDefault="00566250" w:rsidP="00566250">
      <w:pPr>
        <w:pStyle w:val="NormalWeb"/>
        <w:spacing w:before="0" w:beforeAutospacing="0" w:after="160" w:afterAutospacing="0"/>
      </w:pPr>
      <w:r w:rsidRPr="00B14A49">
        <w:rPr>
          <w:b/>
          <w:bCs/>
          <w:color w:val="000000"/>
          <w:u w:val="single"/>
        </w:rPr>
        <w:t>BILL NUMBER:</w:t>
      </w:r>
      <w:r w:rsidRPr="00B14A49">
        <w:rPr>
          <w:color w:val="000000"/>
        </w:rPr>
        <w:t xml:space="preserve"> House, No. 3948</w:t>
      </w:r>
    </w:p>
    <w:p w14:paraId="40D86F77" w14:textId="77777777" w:rsidR="00566250" w:rsidRPr="00B14A49" w:rsidRDefault="00566250" w:rsidP="00566250">
      <w:pPr>
        <w:pStyle w:val="NormalWeb"/>
        <w:spacing w:before="0" w:beforeAutospacing="0" w:after="160" w:afterAutospacing="0"/>
      </w:pPr>
      <w:r w:rsidRPr="00B14A49">
        <w:rPr>
          <w:b/>
          <w:bCs/>
          <w:color w:val="000000"/>
          <w:u w:val="single"/>
        </w:rPr>
        <w:t>TITLE:</w:t>
      </w:r>
      <w:r w:rsidRPr="00B14A49">
        <w:rPr>
          <w:color w:val="000000"/>
        </w:rPr>
        <w:t xml:space="preserve"> An Act to establish comprehensive rights and career advancement for contingent faculty in public higher education</w:t>
      </w:r>
    </w:p>
    <w:p w14:paraId="4A38ED64" w14:textId="77777777" w:rsidR="00566250" w:rsidRPr="00B14A49" w:rsidRDefault="00566250" w:rsidP="00566250">
      <w:pPr>
        <w:pStyle w:val="NormalWeb"/>
        <w:spacing w:before="0" w:beforeAutospacing="0" w:after="160" w:afterAutospacing="0"/>
      </w:pPr>
      <w:r w:rsidRPr="00B14A49">
        <w:rPr>
          <w:b/>
          <w:bCs/>
          <w:color w:val="000000"/>
          <w:u w:val="single"/>
        </w:rPr>
        <w:t>SPONSORS:</w:t>
      </w:r>
      <w:r w:rsidRPr="00B14A49">
        <w:rPr>
          <w:color w:val="000000"/>
        </w:rPr>
        <w:t xml:space="preserve"> Rep. Lindsay Sabadosa (Northampton) </w:t>
      </w:r>
    </w:p>
    <w:p w14:paraId="04F7E1E9" w14:textId="77777777" w:rsidR="00566250" w:rsidRPr="00B14A49" w:rsidRDefault="00566250" w:rsidP="00566250">
      <w:pPr>
        <w:pStyle w:val="NormalWeb"/>
        <w:spacing w:before="0" w:beforeAutospacing="0" w:after="160" w:afterAutospacing="0"/>
      </w:pPr>
      <w:r w:rsidRPr="00B14A49">
        <w:rPr>
          <w:b/>
          <w:bCs/>
          <w:color w:val="000000"/>
          <w:u w:val="single"/>
        </w:rPr>
        <w:t>SIMILAR MATTERS:</w:t>
      </w:r>
      <w:r w:rsidRPr="00B14A49">
        <w:rPr>
          <w:color w:val="000000"/>
        </w:rPr>
        <w:t xml:space="preserve"> S.930 (Sen. James Eldridge)</w:t>
      </w:r>
    </w:p>
    <w:p w14:paraId="34A24D2F" w14:textId="77777777" w:rsidR="00566250" w:rsidRPr="00B14A49" w:rsidRDefault="00566250" w:rsidP="00566250">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5177DDFD" w14:textId="77777777" w:rsidR="00566250" w:rsidRPr="00B14A49" w:rsidRDefault="00566250" w:rsidP="00566250">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7E8C0B8C" w14:textId="77777777" w:rsidR="00566250" w:rsidRPr="00B14A49" w:rsidRDefault="00566250" w:rsidP="00566250">
      <w:pPr>
        <w:pStyle w:val="NormalWeb"/>
        <w:spacing w:before="0" w:beforeAutospacing="0" w:after="160" w:afterAutospacing="0"/>
      </w:pPr>
      <w:r w:rsidRPr="00B14A49">
        <w:rPr>
          <w:b/>
          <w:bCs/>
          <w:color w:val="000000"/>
          <w:u w:val="single"/>
        </w:rPr>
        <w:t>PRIOR HISTORY:</w:t>
      </w:r>
      <w:r w:rsidRPr="00B14A49">
        <w:rPr>
          <w:color w:val="000000"/>
        </w:rPr>
        <w:t xml:space="preserve"> New file</w:t>
      </w:r>
    </w:p>
    <w:p w14:paraId="5DA3F57D" w14:textId="77777777" w:rsidR="00566250" w:rsidRPr="00B14A49" w:rsidRDefault="00566250" w:rsidP="00566250">
      <w:pPr>
        <w:pStyle w:val="NormalWeb"/>
        <w:spacing w:before="0" w:beforeAutospacing="0" w:after="160" w:afterAutospacing="0"/>
      </w:pPr>
      <w:r w:rsidRPr="00B14A49">
        <w:rPr>
          <w:b/>
          <w:bCs/>
          <w:color w:val="000000"/>
          <w:u w:val="single"/>
        </w:rPr>
        <w:t>CURRENT LAW:</w:t>
      </w:r>
    </w:p>
    <w:p w14:paraId="760DB185" w14:textId="77777777" w:rsidR="00566250" w:rsidRPr="00B14A49" w:rsidRDefault="00566250" w:rsidP="00566250">
      <w:pPr>
        <w:pStyle w:val="NormalWeb"/>
        <w:spacing w:before="0" w:beforeAutospacing="0" w:after="160" w:afterAutospacing="0"/>
      </w:pPr>
      <w:r w:rsidRPr="00B14A49">
        <w:rPr>
          <w:i/>
          <w:iCs/>
          <w:color w:val="000000"/>
        </w:rPr>
        <w:t xml:space="preserve">M.G.L. Chapter 15A § 9 – Powers and duties of council: </w:t>
      </w:r>
      <w:r w:rsidRPr="00B14A49">
        <w:rPr>
          <w:color w:val="000000"/>
        </w:rPr>
        <w:t>This section gives the board of higher education authority to serve as the central body for policy, planning, and accountability in Massachusetts public higher education.</w:t>
      </w:r>
    </w:p>
    <w:p w14:paraId="066037DA" w14:textId="77777777" w:rsidR="00566250" w:rsidRPr="00B14A49" w:rsidRDefault="00566250" w:rsidP="00566250">
      <w:pPr>
        <w:pStyle w:val="NormalWeb"/>
        <w:spacing w:before="0" w:beforeAutospacing="0" w:after="160" w:afterAutospacing="0"/>
      </w:pPr>
      <w:r w:rsidRPr="00B14A49">
        <w:rPr>
          <w:i/>
          <w:iCs/>
          <w:color w:val="000000"/>
        </w:rPr>
        <w:t>M.G.L. Chapter 15A § 10 – Definitions</w:t>
      </w:r>
    </w:p>
    <w:p w14:paraId="344B557A" w14:textId="77777777" w:rsidR="00566250" w:rsidRPr="00B14A49" w:rsidRDefault="00566250" w:rsidP="00566250">
      <w:pPr>
        <w:pStyle w:val="NormalWeb"/>
        <w:spacing w:before="0" w:beforeAutospacing="0" w:after="160" w:afterAutospacing="0"/>
      </w:pPr>
      <w:r w:rsidRPr="00B14A49">
        <w:rPr>
          <w:i/>
          <w:iCs/>
          <w:color w:val="000000"/>
        </w:rPr>
        <w:t xml:space="preserve">M.G.L. Chapter 29 – State Finance: </w:t>
      </w:r>
      <w:r w:rsidRPr="00B14A49">
        <w:rPr>
          <w:color w:val="000000"/>
        </w:rPr>
        <w:t>This chapter creates the various funds into which revenue from taxes and other collections is deposited (such as the General Fund and the Education and Transportation Fund), as well as numerous special trust funds set up for specific purposes.</w:t>
      </w:r>
    </w:p>
    <w:p w14:paraId="491AF466" w14:textId="77777777" w:rsidR="00566250" w:rsidRPr="00B14A49" w:rsidRDefault="00566250" w:rsidP="00566250">
      <w:pPr>
        <w:pStyle w:val="NormalWeb"/>
        <w:spacing w:before="0" w:beforeAutospacing="0" w:after="160" w:afterAutospacing="0"/>
      </w:pPr>
      <w:r w:rsidRPr="00B14A49">
        <w:rPr>
          <w:b/>
          <w:bCs/>
          <w:color w:val="000000"/>
          <w:u w:val="single"/>
        </w:rPr>
        <w:t>SUMMARY:</w:t>
      </w:r>
    </w:p>
    <w:p w14:paraId="2A1EC70C" w14:textId="77777777" w:rsidR="00566250" w:rsidRDefault="00566250" w:rsidP="00566250">
      <w:pPr>
        <w:pStyle w:val="NormalWeb"/>
        <w:spacing w:before="0" w:beforeAutospacing="0" w:after="160" w:afterAutospacing="0"/>
        <w:rPr>
          <w:color w:val="000000"/>
        </w:rPr>
      </w:pPr>
      <w:r w:rsidRPr="00582E67">
        <w:rPr>
          <w:color w:val="000000"/>
        </w:rPr>
        <w:t xml:space="preserve">This bill proposes changes to the employment framework for part-time, non-tenure-track faculty in public higher education. It addresses several areas, including career advancement and compensation, benefits and professional support, transparency and accountability, as well as enforcement and funding. The legislation mandates that public colleges establish a multi-tiered career framework for contingent faculty, which would provide increased job security, compensation, and benefits as faculty advance in their roles. Additionally, it introduces a requirement for equal pay between the day and continuing education divisions. </w:t>
      </w:r>
    </w:p>
    <w:p w14:paraId="79C6D09A" w14:textId="77777777" w:rsidR="00566250" w:rsidRPr="00B14A49" w:rsidRDefault="00566250" w:rsidP="00566250">
      <w:pPr>
        <w:pStyle w:val="NormalWeb"/>
        <w:spacing w:before="0" w:beforeAutospacing="0" w:after="160" w:afterAutospacing="0"/>
      </w:pPr>
      <w:r w:rsidRPr="00B14A49">
        <w:rPr>
          <w:color w:val="000000"/>
        </w:rPr>
        <w:t>The bill also makes contingent faculty eligible for group health insurance benefits if they meet a specific teaching load of service requirements, with pro-rated premium contributions. It addresses retirement contributions and mandates that institutions provide funding for professional development, research, and mentoring. The bill requires institutions to maintain detailed records on contingent faculty, including courses taught, compensation, and career tier status. It establishes clear rules for notifying faculty about their assignments, benefits, and advancement opportunities.</w:t>
      </w:r>
    </w:p>
    <w:p w14:paraId="5B3D9B74" w14:textId="77777777" w:rsidR="00566250" w:rsidRPr="00B14A49" w:rsidRDefault="00566250" w:rsidP="00566250">
      <w:pPr>
        <w:pStyle w:val="NormalWeb"/>
        <w:spacing w:before="0" w:beforeAutospacing="0" w:after="160" w:afterAutospacing="0"/>
      </w:pPr>
      <w:r w:rsidRPr="00B14A49">
        <w:rPr>
          <w:color w:val="000000"/>
        </w:rPr>
        <w:t xml:space="preserve">A new Contingent Faculty Career Advancement Fund </w:t>
      </w:r>
      <w:proofErr w:type="gramStart"/>
      <w:r w:rsidRPr="00B14A49">
        <w:rPr>
          <w:color w:val="000000"/>
        </w:rPr>
        <w:t>is</w:t>
      </w:r>
      <w:proofErr w:type="gramEnd"/>
      <w:r w:rsidRPr="00B14A49">
        <w:rPr>
          <w:color w:val="000000"/>
        </w:rPr>
        <w:t xml:space="preserve"> created to support these initiatives. The board of higher education is tasked with developing regulations, monitoring for compliance, and establishing a process for faculty to file complaints and seek protection from retaliation. The bill </w:t>
      </w:r>
      <w:r w:rsidRPr="00B14A49">
        <w:rPr>
          <w:color w:val="000000"/>
        </w:rPr>
        <w:lastRenderedPageBreak/>
        <w:t>sets the implementation timeline, with the regulations to be finalized by January 1, 2026, and the act to take effect on July 1, 2026.</w:t>
      </w:r>
    </w:p>
    <w:p w14:paraId="006A14BF" w14:textId="08BF7C37" w:rsidR="002F606A" w:rsidRPr="002F606A" w:rsidRDefault="002F606A" w:rsidP="00566250">
      <w:pPr>
        <w:pStyle w:val="NormalWeb"/>
        <w:spacing w:before="0" w:beforeAutospacing="0" w:after="160" w:afterAutospacing="0"/>
        <w:rPr>
          <w:sz w:val="22"/>
        </w:rPr>
      </w:pPr>
    </w:p>
    <w:sectPr w:rsidR="002F606A" w:rsidRPr="002F60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A869" w14:textId="77777777" w:rsidR="00FB043E" w:rsidRDefault="00FB043E">
      <w:pPr>
        <w:spacing w:after="0" w:line="240" w:lineRule="auto"/>
      </w:pPr>
      <w:r>
        <w:separator/>
      </w:r>
    </w:p>
  </w:endnote>
  <w:endnote w:type="continuationSeparator" w:id="0">
    <w:p w14:paraId="4808EAE4" w14:textId="77777777" w:rsidR="00FB043E" w:rsidRDefault="00FB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53BC" w14:textId="77777777" w:rsidR="00FB043E" w:rsidRDefault="00FB043E">
      <w:pPr>
        <w:spacing w:after="0" w:line="240" w:lineRule="auto"/>
      </w:pPr>
      <w:r>
        <w:rPr>
          <w:color w:val="000000"/>
        </w:rPr>
        <w:separator/>
      </w:r>
    </w:p>
  </w:footnote>
  <w:footnote w:type="continuationSeparator" w:id="0">
    <w:p w14:paraId="11F3CF15" w14:textId="77777777" w:rsidR="00FB043E" w:rsidRDefault="00FB0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15"/>
    <w:multiLevelType w:val="hybridMultilevel"/>
    <w:tmpl w:val="68F2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5463C"/>
    <w:multiLevelType w:val="hybridMultilevel"/>
    <w:tmpl w:val="4D68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01F75"/>
    <w:multiLevelType w:val="hybridMultilevel"/>
    <w:tmpl w:val="17B2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70A3B"/>
    <w:multiLevelType w:val="multilevel"/>
    <w:tmpl w:val="736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094189">
    <w:abstractNumId w:val="1"/>
  </w:num>
  <w:num w:numId="2" w16cid:durableId="1336225480">
    <w:abstractNumId w:val="2"/>
  </w:num>
  <w:num w:numId="3" w16cid:durableId="674185547">
    <w:abstractNumId w:val="0"/>
  </w:num>
  <w:num w:numId="4" w16cid:durableId="95787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A3"/>
    <w:rsid w:val="000214CC"/>
    <w:rsid w:val="00086485"/>
    <w:rsid w:val="000A05F0"/>
    <w:rsid w:val="000A5521"/>
    <w:rsid w:val="000B2241"/>
    <w:rsid w:val="000C36A8"/>
    <w:rsid w:val="0016760B"/>
    <w:rsid w:val="00182682"/>
    <w:rsid w:val="001A6F5A"/>
    <w:rsid w:val="001F494C"/>
    <w:rsid w:val="002039E7"/>
    <w:rsid w:val="00223B9A"/>
    <w:rsid w:val="00241421"/>
    <w:rsid w:val="00243BAF"/>
    <w:rsid w:val="00243DA5"/>
    <w:rsid w:val="002D11E1"/>
    <w:rsid w:val="002F606A"/>
    <w:rsid w:val="00320366"/>
    <w:rsid w:val="003234D3"/>
    <w:rsid w:val="00327AD8"/>
    <w:rsid w:val="00367B0D"/>
    <w:rsid w:val="00390BF4"/>
    <w:rsid w:val="003A4040"/>
    <w:rsid w:val="004368E8"/>
    <w:rsid w:val="004414D7"/>
    <w:rsid w:val="004523AF"/>
    <w:rsid w:val="00465BFF"/>
    <w:rsid w:val="0047227A"/>
    <w:rsid w:val="00473E67"/>
    <w:rsid w:val="004E64F1"/>
    <w:rsid w:val="00502260"/>
    <w:rsid w:val="0050271A"/>
    <w:rsid w:val="00510090"/>
    <w:rsid w:val="00511DEA"/>
    <w:rsid w:val="00533537"/>
    <w:rsid w:val="00566250"/>
    <w:rsid w:val="00576D7F"/>
    <w:rsid w:val="005845EA"/>
    <w:rsid w:val="005A1FFB"/>
    <w:rsid w:val="005D3F84"/>
    <w:rsid w:val="005F09FE"/>
    <w:rsid w:val="00607FD3"/>
    <w:rsid w:val="00626ECD"/>
    <w:rsid w:val="00631B46"/>
    <w:rsid w:val="00667D3B"/>
    <w:rsid w:val="006C2E39"/>
    <w:rsid w:val="006F33FC"/>
    <w:rsid w:val="00713C6E"/>
    <w:rsid w:val="00735295"/>
    <w:rsid w:val="00763DFE"/>
    <w:rsid w:val="00767514"/>
    <w:rsid w:val="00773B02"/>
    <w:rsid w:val="007A5C98"/>
    <w:rsid w:val="007D29C4"/>
    <w:rsid w:val="007D30AB"/>
    <w:rsid w:val="007E0DAE"/>
    <w:rsid w:val="007F026F"/>
    <w:rsid w:val="008047D1"/>
    <w:rsid w:val="00807242"/>
    <w:rsid w:val="00823F9F"/>
    <w:rsid w:val="00840750"/>
    <w:rsid w:val="008A0A62"/>
    <w:rsid w:val="008A64B6"/>
    <w:rsid w:val="008B5295"/>
    <w:rsid w:val="008E1EDD"/>
    <w:rsid w:val="009237C3"/>
    <w:rsid w:val="009A4F37"/>
    <w:rsid w:val="009E3CC8"/>
    <w:rsid w:val="009F76C2"/>
    <w:rsid w:val="00A55F17"/>
    <w:rsid w:val="00A7156F"/>
    <w:rsid w:val="00B14E8F"/>
    <w:rsid w:val="00B233EC"/>
    <w:rsid w:val="00B67610"/>
    <w:rsid w:val="00B71609"/>
    <w:rsid w:val="00B77627"/>
    <w:rsid w:val="00BA29DB"/>
    <w:rsid w:val="00BB7BAB"/>
    <w:rsid w:val="00C0597F"/>
    <w:rsid w:val="00C341DD"/>
    <w:rsid w:val="00C600DE"/>
    <w:rsid w:val="00C85BBF"/>
    <w:rsid w:val="00C90132"/>
    <w:rsid w:val="00CC62FB"/>
    <w:rsid w:val="00D03170"/>
    <w:rsid w:val="00D048AD"/>
    <w:rsid w:val="00D11247"/>
    <w:rsid w:val="00D50365"/>
    <w:rsid w:val="00D56B51"/>
    <w:rsid w:val="00D601A3"/>
    <w:rsid w:val="00D804A6"/>
    <w:rsid w:val="00DA4270"/>
    <w:rsid w:val="00DA77DB"/>
    <w:rsid w:val="00DE7471"/>
    <w:rsid w:val="00E067CA"/>
    <w:rsid w:val="00E32ED8"/>
    <w:rsid w:val="00E43BCA"/>
    <w:rsid w:val="00E81723"/>
    <w:rsid w:val="00EB0CE8"/>
    <w:rsid w:val="00EC45EF"/>
    <w:rsid w:val="00EF38ED"/>
    <w:rsid w:val="00F25169"/>
    <w:rsid w:val="00F60A5B"/>
    <w:rsid w:val="00F71577"/>
    <w:rsid w:val="00F71FC0"/>
    <w:rsid w:val="00F83E2D"/>
    <w:rsid w:val="00F84777"/>
    <w:rsid w:val="00F93B6F"/>
    <w:rsid w:val="00FA0A4C"/>
    <w:rsid w:val="00FB043E"/>
    <w:rsid w:val="00FB0CE7"/>
    <w:rsid w:val="00FC3094"/>
    <w:rsid w:val="00FE4F38"/>
    <w:rsid w:val="00FF355A"/>
    <w:rsid w:val="015A31E4"/>
    <w:rsid w:val="127D9997"/>
    <w:rsid w:val="1A400BBD"/>
    <w:rsid w:val="1FC452CA"/>
    <w:rsid w:val="3283DEAE"/>
    <w:rsid w:val="39165C8D"/>
    <w:rsid w:val="427798A7"/>
    <w:rsid w:val="5C57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D8B1"/>
  <w15:docId w15:val="{341D0588-0616-4150-AC95-24652C84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kern w:val="3"/>
        <w:sz w:val="24"/>
        <w:szCs w:val="22"/>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6" w:lineRule="auto"/>
    </w:pPr>
  </w:style>
  <w:style w:type="paragraph" w:styleId="Heading1">
    <w:name w:val="heading 1"/>
    <w:basedOn w:val="Normal"/>
    <w:next w:val="Normal"/>
    <w:uiPriority w:val="9"/>
    <w:qFormat/>
    <w:pPr>
      <w:keepNext/>
      <w:keepLines/>
      <w:spacing w:before="360" w:after="80" w:line="276" w:lineRule="auto"/>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line="276" w:lineRule="auto"/>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line="276" w:lineRule="auto"/>
      <w:outlineLvl w:val="3"/>
    </w:pPr>
    <w:rPr>
      <w:rFonts w:eastAsia="Times New Roman"/>
      <w:i/>
      <w:iCs/>
      <w:color w:val="0F4761"/>
      <w:szCs w:val="24"/>
    </w:rPr>
  </w:style>
  <w:style w:type="paragraph" w:styleId="Heading5">
    <w:name w:val="heading 5"/>
    <w:basedOn w:val="Normal"/>
    <w:next w:val="Normal"/>
    <w:uiPriority w:val="9"/>
    <w:semiHidden/>
    <w:unhideWhenUsed/>
    <w:qFormat/>
    <w:pPr>
      <w:keepNext/>
      <w:keepLines/>
      <w:spacing w:before="80" w:after="40" w:line="276" w:lineRule="auto"/>
      <w:outlineLvl w:val="4"/>
    </w:pPr>
    <w:rPr>
      <w:rFonts w:eastAsia="Times New Roman"/>
      <w:color w:val="0F4761"/>
      <w:szCs w:val="24"/>
    </w:rPr>
  </w:style>
  <w:style w:type="paragraph" w:styleId="Heading6">
    <w:name w:val="heading 6"/>
    <w:basedOn w:val="Normal"/>
    <w:next w:val="Normal"/>
    <w:uiPriority w:val="9"/>
    <w:semiHidden/>
    <w:unhideWhenUsed/>
    <w:qFormat/>
    <w:pPr>
      <w:keepNext/>
      <w:keepLines/>
      <w:spacing w:before="40" w:after="0" w:line="276" w:lineRule="auto"/>
      <w:outlineLvl w:val="5"/>
    </w:pPr>
    <w:rPr>
      <w:rFonts w:eastAsia="Times New Roman"/>
      <w:i/>
      <w:iCs/>
      <w:color w:val="595959"/>
      <w:szCs w:val="24"/>
    </w:rPr>
  </w:style>
  <w:style w:type="paragraph" w:styleId="Heading7">
    <w:name w:val="heading 7"/>
    <w:basedOn w:val="Normal"/>
    <w:next w:val="Normal"/>
    <w:pPr>
      <w:keepNext/>
      <w:keepLines/>
      <w:spacing w:before="40" w:after="0" w:line="276" w:lineRule="auto"/>
      <w:outlineLvl w:val="6"/>
    </w:pPr>
    <w:rPr>
      <w:rFonts w:eastAsia="Times New Roman"/>
      <w:color w:val="595959"/>
      <w:szCs w:val="24"/>
    </w:rPr>
  </w:style>
  <w:style w:type="paragraph" w:styleId="Heading8">
    <w:name w:val="heading 8"/>
    <w:basedOn w:val="Normal"/>
    <w:next w:val="Normal"/>
    <w:pPr>
      <w:keepNext/>
      <w:keepLines/>
      <w:spacing w:after="0" w:line="276" w:lineRule="auto"/>
      <w:outlineLvl w:val="7"/>
    </w:pPr>
    <w:rPr>
      <w:rFonts w:eastAsia="Times New Roman"/>
      <w:i/>
      <w:iCs/>
      <w:color w:val="272727"/>
      <w:szCs w:val="24"/>
    </w:rPr>
  </w:style>
  <w:style w:type="paragraph" w:styleId="Heading9">
    <w:name w:val="heading 9"/>
    <w:basedOn w:val="Normal"/>
    <w:next w:val="Normal"/>
    <w:pPr>
      <w:keepNext/>
      <w:keepLines/>
      <w:spacing w:after="0" w:line="276" w:lineRule="auto"/>
      <w:outlineLvl w:val="8"/>
    </w:pPr>
    <w:rPr>
      <w:rFonts w:eastAsia="Times New Roman"/>
      <w:color w:val="2727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line="276" w:lineRule="auto"/>
    </w:pPr>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line="276" w:lineRule="auto"/>
      <w:jc w:val="center"/>
    </w:pPr>
    <w:rPr>
      <w:i/>
      <w:iCs/>
      <w:color w:val="404040"/>
      <w:szCs w:val="24"/>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spacing w:line="276" w:lineRule="auto"/>
      <w:ind w:left="720"/>
      <w:contextualSpacing/>
    </w:pPr>
    <w:rPr>
      <w:szCs w:val="24"/>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i/>
      <w:iCs/>
      <w:color w:val="0F4761"/>
      <w:szCs w:val="24"/>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semiHidden/>
    <w:unhideWhenUsed/>
    <w:rsid w:val="00B233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33EC"/>
    <w:rPr>
      <w:sz w:val="22"/>
      <w:szCs w:val="22"/>
    </w:rPr>
  </w:style>
  <w:style w:type="paragraph" w:styleId="Footer">
    <w:name w:val="footer"/>
    <w:basedOn w:val="Normal"/>
    <w:link w:val="FooterChar"/>
    <w:uiPriority w:val="99"/>
    <w:semiHidden/>
    <w:unhideWhenUsed/>
    <w:rsid w:val="00B233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33EC"/>
    <w:rPr>
      <w:sz w:val="22"/>
      <w:szCs w:val="22"/>
    </w:rPr>
  </w:style>
  <w:style w:type="paragraph" w:styleId="NormalWeb">
    <w:name w:val="Normal (Web)"/>
    <w:basedOn w:val="Normal"/>
    <w:uiPriority w:val="99"/>
    <w:unhideWhenUsed/>
    <w:rsid w:val="00EF38ED"/>
    <w:pPr>
      <w:suppressAutoHyphens w:val="0"/>
      <w:autoSpaceDN/>
      <w:spacing w:before="100" w:beforeAutospacing="1" w:after="100" w:afterAutospacing="1" w:line="240" w:lineRule="auto"/>
    </w:pPr>
    <w:rPr>
      <w:rFonts w:eastAsia="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11350">
      <w:bodyDiv w:val="1"/>
      <w:marLeft w:val="0"/>
      <w:marRight w:val="0"/>
      <w:marTop w:val="0"/>
      <w:marBottom w:val="0"/>
      <w:divBdr>
        <w:top w:val="none" w:sz="0" w:space="0" w:color="auto"/>
        <w:left w:val="none" w:sz="0" w:space="0" w:color="auto"/>
        <w:bottom w:val="none" w:sz="0" w:space="0" w:color="auto"/>
        <w:right w:val="none" w:sz="0" w:space="0" w:color="auto"/>
      </w:divBdr>
    </w:div>
    <w:div w:id="1008022692">
      <w:bodyDiv w:val="1"/>
      <w:marLeft w:val="0"/>
      <w:marRight w:val="0"/>
      <w:marTop w:val="0"/>
      <w:marBottom w:val="0"/>
      <w:divBdr>
        <w:top w:val="none" w:sz="0" w:space="0" w:color="auto"/>
        <w:left w:val="none" w:sz="0" w:space="0" w:color="auto"/>
        <w:bottom w:val="none" w:sz="0" w:space="0" w:color="auto"/>
        <w:right w:val="none" w:sz="0" w:space="0" w:color="auto"/>
      </w:divBdr>
    </w:div>
    <w:div w:id="1247113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Doppel, Emily (HOU)</dc:creator>
  <dc:description/>
  <cp:lastModifiedBy>Doppel, Emily (HOU)</cp:lastModifiedBy>
  <cp:revision>98</cp:revision>
  <dcterms:created xsi:type="dcterms:W3CDTF">2025-08-11T17:16:00Z</dcterms:created>
  <dcterms:modified xsi:type="dcterms:W3CDTF">2025-09-11T16:36:00Z</dcterms:modified>
</cp:coreProperties>
</file>