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3985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li4aqmqoxa8" w:id="0"/>
            <w:bookmarkEnd w:id="0"/>
            <w:r w:rsidDel="00000000" w:rsidR="00000000" w:rsidRPr="00000000">
              <w:rPr>
                <w:rFonts w:ascii="Times New Roman" w:cs="Times New Roman" w:eastAsia="Times New Roman" w:hAnsi="Times New Roman"/>
                <w:color w:val="333333"/>
                <w:sz w:val="24"/>
                <w:szCs w:val="24"/>
                <w:rtl w:val="0"/>
              </w:rPr>
              <w:t xml:space="preserve">An Act relative to promoting the future success of mattress recycling in the Commonwealth</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Vargas and Domb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S.614 by Senator E. Kennedy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1.  </w:t>
            </w:r>
            <w:r w:rsidDel="00000000" w:rsidR="00000000" w:rsidRPr="00000000">
              <w:rPr>
                <w:rFonts w:ascii="Times New Roman" w:cs="Times New Roman" w:eastAsia="Times New Roman" w:hAnsi="Times New Roman"/>
                <w:sz w:val="24"/>
                <w:szCs w:val="24"/>
                <w:highlight w:val="white"/>
                <w:rtl w:val="0"/>
              </w:rPr>
              <w:t xml:space="preserve">Chapter 21H of MA General Laws are amended to establish a statewide mattress recycling program. DEP must develop a plan within 300 days of the bill's passage, funded by a mattress recycling fee, aimed at reducing waste and promoting recycling and reuse. The program will include a fee structure, performance goals, public education, and strategies for underserved communities, with annual reports published to track progress. A study will evaluate the program's environmental and social impacts after three years, and a grant program will support innovation in recycling. Additionally, a pilot program will create job opportunities for people facing employment barriers. An advisory committee will provide ongoing guidance, and the program must begin within 24 months of the law's enactment. Public hearings and input will be incorporated into the final plan.</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2. </w:t>
            </w:r>
            <w:r w:rsidDel="00000000" w:rsidR="00000000" w:rsidRPr="00000000">
              <w:rPr>
                <w:rFonts w:ascii="Times New Roman" w:cs="Times New Roman" w:eastAsia="Times New Roman" w:hAnsi="Times New Roman"/>
                <w:sz w:val="24"/>
                <w:szCs w:val="24"/>
                <w:highlight w:val="white"/>
                <w:rtl w:val="0"/>
              </w:rPr>
              <w:t xml:space="preserve">Chapter 29 of the Massachusetts General Laws is amended to establish the Mattress Recycling Trust Fund, managed by the commissioner of DEP. The fund will be supported by mattress recycling fees, legislative appropriations, and interest income, and it will remain available year-to-year without reverting to the General Fund. Funds will be used to operate and enhance mattress recycling services across the state. Additionally, DEP is required to report on the fund’s activities annually by December 31 to relevant legislative committees.</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