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62FE" w14:textId="2A360787" w:rsidR="0029187C" w:rsidRPr="001E7450" w:rsidRDefault="00856696" w:rsidP="001E745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29187C" w:rsidRPr="001E7450">
        <w:rPr>
          <w:rFonts w:ascii="Times New Roman" w:hAnsi="Times New Roman" w:cs="Times New Roman"/>
          <w:b/>
          <w:bCs/>
          <w:sz w:val="24"/>
          <w:szCs w:val="24"/>
        </w:rPr>
        <w:t>Joint Committee on Higher Education</w:t>
      </w:r>
    </w:p>
    <w:p w14:paraId="6E6EAC92" w14:textId="77777777" w:rsidR="0029187C" w:rsidRPr="001E7450" w:rsidRDefault="0029187C" w:rsidP="001E7450">
      <w:pPr>
        <w:spacing w:line="276" w:lineRule="auto"/>
        <w:jc w:val="center"/>
        <w:rPr>
          <w:rFonts w:ascii="Times New Roman" w:hAnsi="Times New Roman" w:cs="Times New Roman"/>
          <w:b/>
          <w:bCs/>
          <w:sz w:val="24"/>
          <w:szCs w:val="24"/>
        </w:rPr>
      </w:pPr>
      <w:r w:rsidRPr="001E7450">
        <w:rPr>
          <w:rFonts w:ascii="Times New Roman" w:hAnsi="Times New Roman" w:cs="Times New Roman"/>
          <w:b/>
          <w:bCs/>
          <w:sz w:val="24"/>
          <w:szCs w:val="24"/>
        </w:rPr>
        <w:t>Bill Summary</w:t>
      </w:r>
    </w:p>
    <w:p w14:paraId="6150ED8C" w14:textId="6EA49EF0" w:rsidR="0029187C" w:rsidRPr="001E7450" w:rsidRDefault="0029187C" w:rsidP="001E7450">
      <w:pPr>
        <w:spacing w:line="276" w:lineRule="auto"/>
        <w:jc w:val="center"/>
        <w:rPr>
          <w:rFonts w:ascii="Times New Roman" w:hAnsi="Times New Roman" w:cs="Times New Roman"/>
          <w:b/>
          <w:bCs/>
          <w:sz w:val="24"/>
          <w:szCs w:val="24"/>
        </w:rPr>
      </w:pPr>
      <w:r w:rsidRPr="001E745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AEA84A0" wp14:editId="11EEF034">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1pt" from="412.8pt,15pt" to="876.8pt,15.5pt" w14:anchorId="44BA0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YAiJYtwAAAAGAQAADwAAAGRycy9kb3ducmV2LnhtbEyP3U7DMAyF75F4h8hI3LFkQ0Jb&#10;aTpNEz+CgYDBA3iN11ZrnKrJuvL2mCu48s+xzvmcL0ffqoH62AS2MJ0YUMRlcA1XFr4+76/moGJC&#10;dtgGJgvfFGFZnJ/lmLlw4g8atqlSYsIxQwt1Sl2mdSxr8hgnoSMWbR96j0nGvtKux5OY+1bPjLnR&#10;HhuWhBo7WtdUHrZHb2G9unt4faJHPGxw8b55rodq//Jm7eXFuLoFlWhMf8fwiy/oUAjTLhzZRdVa&#10;kEeShWsjVdTFbC7NThZTA7rI9X/84gcAAP//AwBQSwECLQAUAAYACAAAACEAtoM4kv4AAADhAQAA&#10;EwAAAAAAAAAAAAAAAAAAAAAAW0NvbnRlbnRfVHlwZXNdLnhtbFBLAQItABQABgAIAAAAIQA4/SH/&#10;1gAAAJQBAAALAAAAAAAAAAAAAAAAAC8BAABfcmVscy8ucmVsc1BLAQItABQABgAIAAAAIQCKkADV&#10;oAEAAJcDAAAOAAAAAAAAAAAAAAAAAC4CAABkcnMvZTJvRG9jLnhtbFBLAQItABQABgAIAAAAIQBg&#10;CIli3AAAAAYBAAAPAAAAAAAAAAAAAAAAAPoDAABkcnMvZG93bnJldi54bWxQSwUGAAAAAAQABADz&#10;AAAAAwUAAAAA&#10;">
                <v:stroke joinstyle="miter"/>
                <w10:wrap anchorx="margin"/>
              </v:line>
            </w:pict>
          </mc:Fallback>
        </mc:AlternateContent>
      </w:r>
    </w:p>
    <w:p w14:paraId="78B5EF6B" w14:textId="43FB3FF1" w:rsidR="0029187C" w:rsidRPr="001E7450" w:rsidRDefault="0029187C" w:rsidP="001E7450">
      <w:pPr>
        <w:spacing w:line="276" w:lineRule="auto"/>
        <w:rPr>
          <w:rFonts w:ascii="Times New Roman" w:hAnsi="Times New Roman" w:cs="Times New Roman"/>
          <w:b/>
          <w:bCs/>
          <w:sz w:val="24"/>
          <w:szCs w:val="24"/>
          <w:u w:val="single"/>
        </w:rPr>
      </w:pPr>
      <w:r w:rsidRPr="001E7450">
        <w:rPr>
          <w:rFonts w:ascii="Times New Roman" w:hAnsi="Times New Roman" w:cs="Times New Roman"/>
          <w:b/>
          <w:bCs/>
          <w:sz w:val="24"/>
          <w:szCs w:val="24"/>
          <w:u w:val="single"/>
        </w:rPr>
        <w:t>BILL NUMBER</w:t>
      </w:r>
      <w:r w:rsidR="008C72C8" w:rsidRPr="001E7450">
        <w:rPr>
          <w:rFonts w:ascii="Times New Roman" w:hAnsi="Times New Roman" w:cs="Times New Roman"/>
          <w:b/>
          <w:bCs/>
          <w:sz w:val="24"/>
          <w:szCs w:val="24"/>
          <w:u w:val="single"/>
        </w:rPr>
        <w:t>:</w:t>
      </w:r>
      <w:r w:rsidRPr="001E7450">
        <w:rPr>
          <w:rFonts w:ascii="Times New Roman" w:hAnsi="Times New Roman" w:cs="Times New Roman"/>
          <w:sz w:val="24"/>
          <w:szCs w:val="24"/>
        </w:rPr>
        <w:t xml:space="preserve"> House, No. </w:t>
      </w:r>
      <w:r w:rsidR="00CF7781" w:rsidRPr="001E7450">
        <w:rPr>
          <w:rFonts w:ascii="Times New Roman" w:hAnsi="Times New Roman" w:cs="Times New Roman"/>
          <w:sz w:val="24"/>
          <w:szCs w:val="24"/>
        </w:rPr>
        <w:t>4</w:t>
      </w:r>
      <w:r w:rsidR="00D5722C">
        <w:rPr>
          <w:rFonts w:ascii="Times New Roman" w:hAnsi="Times New Roman" w:cs="Times New Roman"/>
          <w:sz w:val="24"/>
          <w:szCs w:val="24"/>
        </w:rPr>
        <w:t>544</w:t>
      </w:r>
    </w:p>
    <w:p w14:paraId="76AEDAB9" w14:textId="598C6F3D" w:rsidR="0029187C" w:rsidRPr="001E7450" w:rsidRDefault="0029187C" w:rsidP="001E7450">
      <w:pPr>
        <w:spacing w:line="276" w:lineRule="auto"/>
        <w:rPr>
          <w:rFonts w:ascii="Times New Roman" w:hAnsi="Times New Roman" w:cs="Times New Roman"/>
          <w:sz w:val="24"/>
          <w:szCs w:val="24"/>
        </w:rPr>
      </w:pPr>
      <w:r w:rsidRPr="001E7450">
        <w:rPr>
          <w:rFonts w:ascii="Times New Roman" w:hAnsi="Times New Roman" w:cs="Times New Roman"/>
          <w:b/>
          <w:bCs/>
          <w:sz w:val="24"/>
          <w:szCs w:val="24"/>
          <w:u w:val="single"/>
        </w:rPr>
        <w:t>TITLE:</w:t>
      </w:r>
      <w:r w:rsidRPr="001E7450">
        <w:rPr>
          <w:rFonts w:ascii="Times New Roman" w:hAnsi="Times New Roman" w:cs="Times New Roman"/>
          <w:sz w:val="24"/>
          <w:szCs w:val="24"/>
        </w:rPr>
        <w:t xml:space="preserve"> </w:t>
      </w:r>
      <w:r w:rsidR="00F846A1" w:rsidRPr="001E7450">
        <w:rPr>
          <w:rFonts w:ascii="Times New Roman" w:hAnsi="Times New Roman" w:cs="Times New Roman"/>
          <w:sz w:val="24"/>
          <w:szCs w:val="24"/>
        </w:rPr>
        <w:t>An Act relative to Hispanic-serving institutions</w:t>
      </w:r>
    </w:p>
    <w:p w14:paraId="2D09D8FA" w14:textId="7A645684" w:rsidR="0029187C" w:rsidRPr="001E7450" w:rsidRDefault="0029187C" w:rsidP="001E7450">
      <w:pPr>
        <w:spacing w:line="276" w:lineRule="auto"/>
        <w:rPr>
          <w:rFonts w:ascii="Times New Roman" w:hAnsi="Times New Roman" w:cs="Times New Roman"/>
          <w:sz w:val="24"/>
          <w:szCs w:val="24"/>
        </w:rPr>
      </w:pPr>
      <w:r w:rsidRPr="001E7450">
        <w:rPr>
          <w:rFonts w:ascii="Times New Roman" w:hAnsi="Times New Roman" w:cs="Times New Roman"/>
          <w:b/>
          <w:bCs/>
          <w:sz w:val="24"/>
          <w:szCs w:val="24"/>
          <w:u w:val="single"/>
        </w:rPr>
        <w:t>SPONSORS:</w:t>
      </w:r>
      <w:r w:rsidRPr="001E7450">
        <w:rPr>
          <w:rFonts w:ascii="Times New Roman" w:hAnsi="Times New Roman" w:cs="Times New Roman"/>
          <w:sz w:val="24"/>
          <w:szCs w:val="24"/>
        </w:rPr>
        <w:t xml:space="preserve"> </w:t>
      </w:r>
      <w:r w:rsidR="003846C0" w:rsidRPr="001E7450">
        <w:rPr>
          <w:rFonts w:ascii="Times New Roman" w:hAnsi="Times New Roman" w:cs="Times New Roman"/>
          <w:sz w:val="24"/>
          <w:szCs w:val="24"/>
        </w:rPr>
        <w:t>Rep. Michael P. Kushmerek (Fitchburg) and S</w:t>
      </w:r>
      <w:r w:rsidR="007906C1" w:rsidRPr="001E7450">
        <w:rPr>
          <w:rFonts w:ascii="Times New Roman" w:hAnsi="Times New Roman" w:cs="Times New Roman"/>
          <w:sz w:val="24"/>
          <w:szCs w:val="24"/>
        </w:rPr>
        <w:t xml:space="preserve">en. </w:t>
      </w:r>
      <w:r w:rsidR="001979C3" w:rsidRPr="001E7450">
        <w:rPr>
          <w:rFonts w:ascii="Times New Roman" w:hAnsi="Times New Roman" w:cs="Times New Roman"/>
          <w:sz w:val="24"/>
          <w:szCs w:val="24"/>
        </w:rPr>
        <w:t>John J. Cronin</w:t>
      </w:r>
    </w:p>
    <w:p w14:paraId="3E1B0615" w14:textId="6F525D65" w:rsidR="0029187C" w:rsidRPr="001E7450" w:rsidRDefault="0029187C" w:rsidP="001E7450">
      <w:pPr>
        <w:spacing w:line="276" w:lineRule="auto"/>
        <w:rPr>
          <w:rFonts w:ascii="Times New Roman" w:hAnsi="Times New Roman" w:cs="Times New Roman"/>
          <w:sz w:val="24"/>
          <w:szCs w:val="24"/>
        </w:rPr>
      </w:pPr>
      <w:r w:rsidRPr="001E7450">
        <w:rPr>
          <w:rFonts w:ascii="Times New Roman" w:hAnsi="Times New Roman" w:cs="Times New Roman"/>
          <w:b/>
          <w:bCs/>
          <w:sz w:val="24"/>
          <w:szCs w:val="24"/>
          <w:u w:val="single"/>
        </w:rPr>
        <w:t>HEARING DATE:</w:t>
      </w:r>
      <w:r w:rsidR="00632834" w:rsidRPr="001E7450">
        <w:rPr>
          <w:rFonts w:ascii="Times New Roman" w:hAnsi="Times New Roman" w:cs="Times New Roman"/>
          <w:sz w:val="24"/>
          <w:szCs w:val="24"/>
        </w:rPr>
        <w:t xml:space="preserve"> October 16, 2025</w:t>
      </w:r>
    </w:p>
    <w:p w14:paraId="0008AAC3" w14:textId="28BAA6BF" w:rsidR="008C72C8" w:rsidRPr="001E7450" w:rsidRDefault="00632834" w:rsidP="001E7450">
      <w:pPr>
        <w:spacing w:line="276" w:lineRule="auto"/>
        <w:rPr>
          <w:rFonts w:ascii="Times New Roman" w:hAnsi="Times New Roman" w:cs="Times New Roman"/>
          <w:sz w:val="24"/>
          <w:szCs w:val="24"/>
        </w:rPr>
      </w:pPr>
      <w:r w:rsidRPr="001E7450">
        <w:rPr>
          <w:rFonts w:ascii="Times New Roman" w:hAnsi="Times New Roman" w:cs="Times New Roman"/>
          <w:b/>
          <w:bCs/>
          <w:sz w:val="24"/>
          <w:szCs w:val="24"/>
          <w:u w:val="single"/>
        </w:rPr>
        <w:t>REPORTING DEADLINE:</w:t>
      </w:r>
      <w:r w:rsidRPr="001E7450">
        <w:rPr>
          <w:rFonts w:ascii="Times New Roman" w:hAnsi="Times New Roman" w:cs="Times New Roman"/>
          <w:sz w:val="24"/>
          <w:szCs w:val="24"/>
        </w:rPr>
        <w:t xml:space="preserve"> December 15, 2025</w:t>
      </w:r>
    </w:p>
    <w:p w14:paraId="2DC534AA" w14:textId="337DAF08" w:rsidR="0029187C" w:rsidRPr="001E7450" w:rsidRDefault="0029187C" w:rsidP="001E7450">
      <w:pPr>
        <w:spacing w:line="276" w:lineRule="auto"/>
        <w:rPr>
          <w:rFonts w:ascii="Times New Roman" w:hAnsi="Times New Roman" w:cs="Times New Roman"/>
          <w:sz w:val="24"/>
          <w:szCs w:val="24"/>
        </w:rPr>
      </w:pPr>
      <w:r w:rsidRPr="001E7450">
        <w:rPr>
          <w:rFonts w:ascii="Times New Roman" w:hAnsi="Times New Roman" w:cs="Times New Roman"/>
          <w:b/>
          <w:bCs/>
          <w:sz w:val="24"/>
          <w:szCs w:val="24"/>
          <w:u w:val="single"/>
        </w:rPr>
        <w:t>PRIOR HISTORY:</w:t>
      </w:r>
      <w:r w:rsidRPr="001E7450">
        <w:rPr>
          <w:rFonts w:ascii="Times New Roman" w:hAnsi="Times New Roman" w:cs="Times New Roman"/>
          <w:sz w:val="24"/>
          <w:szCs w:val="24"/>
        </w:rPr>
        <w:t xml:space="preserve"> </w:t>
      </w:r>
      <w:r w:rsidR="002E7E3A" w:rsidRPr="001E7450">
        <w:rPr>
          <w:rFonts w:ascii="Times New Roman" w:hAnsi="Times New Roman" w:cs="Times New Roman"/>
          <w:sz w:val="24"/>
          <w:szCs w:val="24"/>
        </w:rPr>
        <w:t>New file</w:t>
      </w:r>
    </w:p>
    <w:p w14:paraId="018219DB" w14:textId="77777777" w:rsidR="0029187C" w:rsidRPr="001E7450" w:rsidRDefault="0029187C" w:rsidP="001E7450">
      <w:pPr>
        <w:spacing w:line="276" w:lineRule="auto"/>
        <w:rPr>
          <w:rFonts w:ascii="Times New Roman" w:hAnsi="Times New Roman" w:cs="Times New Roman"/>
          <w:b/>
          <w:bCs/>
          <w:sz w:val="24"/>
          <w:szCs w:val="24"/>
          <w:u w:val="single"/>
        </w:rPr>
      </w:pPr>
      <w:r w:rsidRPr="001E7450">
        <w:rPr>
          <w:rFonts w:ascii="Times New Roman" w:hAnsi="Times New Roman" w:cs="Times New Roman"/>
          <w:b/>
          <w:bCs/>
          <w:sz w:val="24"/>
          <w:szCs w:val="24"/>
          <w:u w:val="single"/>
        </w:rPr>
        <w:t xml:space="preserve">CURRENT LAW: </w:t>
      </w:r>
    </w:p>
    <w:p w14:paraId="20E90B10" w14:textId="6AFDBB9D" w:rsidR="00B46247" w:rsidRPr="001E7450" w:rsidRDefault="00B46247" w:rsidP="21822B1D">
      <w:pPr>
        <w:spacing w:line="276" w:lineRule="auto"/>
        <w:rPr>
          <w:rFonts w:ascii="Times New Roman" w:eastAsia="Times New Roman" w:hAnsi="Times New Roman" w:cs="Times New Roman"/>
          <w:sz w:val="24"/>
          <w:szCs w:val="24"/>
        </w:rPr>
      </w:pPr>
      <w:r w:rsidRPr="21822B1D">
        <w:rPr>
          <w:rFonts w:ascii="Times New Roman" w:hAnsi="Times New Roman" w:cs="Times New Roman"/>
          <w:i/>
          <w:iCs/>
          <w:sz w:val="24"/>
          <w:szCs w:val="24"/>
        </w:rPr>
        <w:t>M.G.L. ch.15A – Public Education</w:t>
      </w:r>
      <w:r w:rsidR="04560FA2" w:rsidRPr="21822B1D">
        <w:rPr>
          <w:rFonts w:ascii="Times New Roman" w:hAnsi="Times New Roman" w:cs="Times New Roman"/>
          <w:i/>
          <w:iCs/>
          <w:sz w:val="24"/>
          <w:szCs w:val="24"/>
        </w:rPr>
        <w:t xml:space="preserve">: </w:t>
      </w:r>
      <w:r w:rsidR="04560FA2" w:rsidRPr="21822B1D">
        <w:rPr>
          <w:rFonts w:ascii="Times New Roman" w:eastAsia="Times New Roman" w:hAnsi="Times New Roman" w:cs="Times New Roman"/>
          <w:color w:val="000000" w:themeColor="text1"/>
          <w:sz w:val="24"/>
          <w:szCs w:val="24"/>
        </w:rPr>
        <w:t>This chapter deals with the state higher education, including laying out the duties of the Board of Higher Education, scholarships and financial aid, and administration of the UMASS system, state universities, and community colleges</w:t>
      </w:r>
      <w:r w:rsidR="04560FA2" w:rsidRPr="21822B1D">
        <w:rPr>
          <w:rFonts w:ascii="Times New Roman" w:eastAsia="Times New Roman" w:hAnsi="Times New Roman" w:cs="Times New Roman"/>
          <w:i/>
          <w:iCs/>
          <w:color w:val="000000" w:themeColor="text1"/>
          <w:sz w:val="24"/>
          <w:szCs w:val="24"/>
        </w:rPr>
        <w:t>.</w:t>
      </w:r>
    </w:p>
    <w:p w14:paraId="4CA582CD" w14:textId="7A5B701D" w:rsidR="002E7E3A" w:rsidRPr="001E7450" w:rsidRDefault="002E7E3A" w:rsidP="001E7450">
      <w:pPr>
        <w:spacing w:line="276" w:lineRule="auto"/>
        <w:rPr>
          <w:rFonts w:ascii="Times New Roman" w:hAnsi="Times New Roman" w:cs="Times New Roman"/>
          <w:i/>
          <w:iCs/>
          <w:sz w:val="24"/>
          <w:szCs w:val="24"/>
        </w:rPr>
      </w:pPr>
      <w:r w:rsidRPr="001E7450">
        <w:rPr>
          <w:rFonts w:ascii="Times New Roman" w:hAnsi="Times New Roman" w:cs="Times New Roman"/>
          <w:i/>
          <w:iCs/>
          <w:sz w:val="24"/>
          <w:szCs w:val="24"/>
        </w:rPr>
        <w:t>M.G.L. ch.15A, §</w:t>
      </w:r>
      <w:r w:rsidR="009B02E3" w:rsidRPr="001E7450">
        <w:rPr>
          <w:rFonts w:ascii="Times New Roman" w:hAnsi="Times New Roman" w:cs="Times New Roman"/>
          <w:i/>
          <w:iCs/>
          <w:sz w:val="24"/>
          <w:szCs w:val="24"/>
        </w:rPr>
        <w:t xml:space="preserve">10 – Definitions </w:t>
      </w:r>
    </w:p>
    <w:p w14:paraId="77268D98" w14:textId="77777777" w:rsidR="0029187C" w:rsidRPr="001E7450" w:rsidRDefault="0029187C" w:rsidP="001E7450">
      <w:pPr>
        <w:spacing w:line="276" w:lineRule="auto"/>
        <w:rPr>
          <w:rFonts w:ascii="Times New Roman" w:hAnsi="Times New Roman" w:cs="Times New Roman"/>
          <w:b/>
          <w:bCs/>
          <w:sz w:val="24"/>
          <w:szCs w:val="24"/>
          <w:u w:val="single"/>
        </w:rPr>
      </w:pPr>
      <w:r w:rsidRPr="001E7450">
        <w:rPr>
          <w:rFonts w:ascii="Times New Roman" w:hAnsi="Times New Roman" w:cs="Times New Roman"/>
          <w:b/>
          <w:bCs/>
          <w:sz w:val="24"/>
          <w:szCs w:val="24"/>
          <w:u w:val="single"/>
        </w:rPr>
        <w:t xml:space="preserve">SUMMARY: </w:t>
      </w:r>
    </w:p>
    <w:p w14:paraId="30ECAC59" w14:textId="488C08AC" w:rsidR="007923C2" w:rsidRPr="001E7450" w:rsidRDefault="00557DD4" w:rsidP="001E7450">
      <w:pPr>
        <w:spacing w:line="276" w:lineRule="auto"/>
        <w:rPr>
          <w:rFonts w:ascii="Times New Roman" w:hAnsi="Times New Roman" w:cs="Times New Roman"/>
          <w:sz w:val="24"/>
          <w:szCs w:val="24"/>
        </w:rPr>
      </w:pPr>
      <w:r w:rsidRPr="001E7450">
        <w:rPr>
          <w:rFonts w:ascii="Times New Roman" w:hAnsi="Times New Roman" w:cs="Times New Roman"/>
          <w:sz w:val="24"/>
          <w:szCs w:val="24"/>
        </w:rPr>
        <w:t xml:space="preserve">Amends section 10 of chapter 15A by inserting a new paragraph </w:t>
      </w:r>
      <w:r w:rsidR="000321A8" w:rsidRPr="001E7450">
        <w:rPr>
          <w:rFonts w:ascii="Times New Roman" w:hAnsi="Times New Roman" w:cs="Times New Roman"/>
          <w:sz w:val="24"/>
          <w:szCs w:val="24"/>
        </w:rPr>
        <w:t>defining “Hispanic-serving intuition”</w:t>
      </w:r>
      <w:r w:rsidR="008924CA" w:rsidRPr="001E7450">
        <w:rPr>
          <w:rFonts w:ascii="Times New Roman" w:hAnsi="Times New Roman" w:cs="Times New Roman"/>
          <w:sz w:val="24"/>
          <w:szCs w:val="24"/>
        </w:rPr>
        <w:t xml:space="preserve"> as an institution of higher education must be accredited by an agency recognized by the Massachusetts Department of Higher Education, have at least 25% Hispanic full-time equivalent undergraduate students at the end of the preceding award year, offer at least two-year academic programs leading to a degree, and have a high enrollment of students in need.</w:t>
      </w:r>
    </w:p>
    <w:p w14:paraId="2D9C055A" w14:textId="0CA38ABC" w:rsidR="008924CA" w:rsidRPr="001E7450" w:rsidRDefault="008924CA" w:rsidP="001E7450">
      <w:pPr>
        <w:spacing w:line="276" w:lineRule="auto"/>
        <w:rPr>
          <w:rFonts w:ascii="Times New Roman" w:hAnsi="Times New Roman" w:cs="Times New Roman"/>
          <w:sz w:val="24"/>
          <w:szCs w:val="24"/>
        </w:rPr>
      </w:pPr>
      <w:r w:rsidRPr="001E7450">
        <w:rPr>
          <w:rFonts w:ascii="Times New Roman" w:hAnsi="Times New Roman" w:cs="Times New Roman"/>
          <w:sz w:val="24"/>
          <w:szCs w:val="24"/>
        </w:rPr>
        <w:t>Subject to appropriations</w:t>
      </w:r>
      <w:r w:rsidR="00D519C4" w:rsidRPr="001E7450">
        <w:rPr>
          <w:rFonts w:ascii="Times New Roman" w:hAnsi="Times New Roman" w:cs="Times New Roman"/>
          <w:sz w:val="24"/>
          <w:szCs w:val="24"/>
        </w:rPr>
        <w:t xml:space="preserve">, funds credited to a dedicated fund can be expended by the commissioner for purposes related to Hispanic-serving institutions. </w:t>
      </w:r>
      <w:r w:rsidR="006E3FDC" w:rsidRPr="001E7450">
        <w:rPr>
          <w:rFonts w:ascii="Times New Roman" w:hAnsi="Times New Roman" w:cs="Times New Roman"/>
          <w:sz w:val="24"/>
          <w:szCs w:val="24"/>
        </w:rPr>
        <w:t>Grants awarded under this title are intended to help these institutions plan, develop, undertake, and carry out programs to improve and expand their capacity to serve Hispanic and other low-income students.</w:t>
      </w:r>
    </w:p>
    <w:p w14:paraId="27531287" w14:textId="1FD143D2" w:rsidR="006E3FDC" w:rsidRPr="001E7450" w:rsidRDefault="006E3FDC" w:rsidP="001E7450">
      <w:pPr>
        <w:spacing w:line="276" w:lineRule="auto"/>
        <w:rPr>
          <w:rFonts w:ascii="Times New Roman" w:hAnsi="Times New Roman" w:cs="Times New Roman"/>
          <w:sz w:val="24"/>
          <w:szCs w:val="24"/>
        </w:rPr>
      </w:pPr>
      <w:r w:rsidRPr="001E7450">
        <w:rPr>
          <w:rFonts w:ascii="Times New Roman" w:hAnsi="Times New Roman" w:cs="Times New Roman"/>
          <w:sz w:val="24"/>
          <w:szCs w:val="24"/>
        </w:rPr>
        <w:t>Authorized activities for grant use include:</w:t>
      </w:r>
    </w:p>
    <w:p w14:paraId="61766FA0" w14:textId="5B2A2CEA" w:rsidR="006E3FDC" w:rsidRPr="001E7450" w:rsidRDefault="006E3FDC" w:rsidP="001E7450">
      <w:pPr>
        <w:pStyle w:val="ListParagraph"/>
        <w:numPr>
          <w:ilvl w:val="0"/>
          <w:numId w:val="3"/>
        </w:numPr>
        <w:spacing w:line="276" w:lineRule="auto"/>
        <w:rPr>
          <w:sz w:val="24"/>
          <w:szCs w:val="24"/>
        </w:rPr>
      </w:pPr>
      <w:r w:rsidRPr="001E7450">
        <w:rPr>
          <w:sz w:val="24"/>
          <w:szCs w:val="24"/>
        </w:rPr>
        <w:t>Purchase, rental, or lease of scientific or laboratory equipment for educational and research purposes.</w:t>
      </w:r>
    </w:p>
    <w:p w14:paraId="51F88446" w14:textId="77777777" w:rsidR="00B5092D" w:rsidRPr="001E7450" w:rsidRDefault="006E3FDC" w:rsidP="001E7450">
      <w:pPr>
        <w:pStyle w:val="ListParagraph"/>
        <w:numPr>
          <w:ilvl w:val="0"/>
          <w:numId w:val="3"/>
        </w:numPr>
        <w:spacing w:line="276" w:lineRule="auto"/>
        <w:rPr>
          <w:sz w:val="24"/>
          <w:szCs w:val="24"/>
        </w:rPr>
      </w:pPr>
      <w:r w:rsidRPr="001E7450">
        <w:rPr>
          <w:sz w:val="24"/>
          <w:szCs w:val="24"/>
        </w:rPr>
        <w:t>Construction, maintenance, renovation, and improvement of classrooms, libraries, laboratories, and other instructional facilities.</w:t>
      </w:r>
    </w:p>
    <w:p w14:paraId="09DA98BC" w14:textId="77777777" w:rsidR="00B5092D" w:rsidRPr="001E7450" w:rsidRDefault="006E3FDC" w:rsidP="001E7450">
      <w:pPr>
        <w:pStyle w:val="ListParagraph"/>
        <w:numPr>
          <w:ilvl w:val="0"/>
          <w:numId w:val="3"/>
        </w:numPr>
        <w:spacing w:line="276" w:lineRule="auto"/>
        <w:rPr>
          <w:sz w:val="24"/>
          <w:szCs w:val="24"/>
        </w:rPr>
      </w:pPr>
      <w:r w:rsidRPr="001E7450">
        <w:rPr>
          <w:sz w:val="24"/>
          <w:szCs w:val="24"/>
        </w:rPr>
        <w:t>Support for faculty exchanges, development, curriculum development, academic instruction, and fellowships for advanced degrees.</w:t>
      </w:r>
    </w:p>
    <w:p w14:paraId="6EBE6F7D" w14:textId="77777777" w:rsidR="00B5092D" w:rsidRPr="001E7450" w:rsidRDefault="006E3FDC" w:rsidP="001E7450">
      <w:pPr>
        <w:pStyle w:val="ListParagraph"/>
        <w:numPr>
          <w:ilvl w:val="0"/>
          <w:numId w:val="3"/>
        </w:numPr>
        <w:spacing w:line="276" w:lineRule="auto"/>
        <w:rPr>
          <w:sz w:val="24"/>
          <w:szCs w:val="24"/>
        </w:rPr>
      </w:pPr>
      <w:r w:rsidRPr="001E7450">
        <w:rPr>
          <w:sz w:val="24"/>
          <w:szCs w:val="24"/>
        </w:rPr>
        <w:t>Purchase of library books, periodicals, and other educational materials.</w:t>
      </w:r>
    </w:p>
    <w:p w14:paraId="36A37D70" w14:textId="77777777" w:rsidR="00F60739" w:rsidRPr="001E7450" w:rsidRDefault="006E3FDC" w:rsidP="001E7450">
      <w:pPr>
        <w:pStyle w:val="ListParagraph"/>
        <w:numPr>
          <w:ilvl w:val="0"/>
          <w:numId w:val="3"/>
        </w:numPr>
        <w:spacing w:line="276" w:lineRule="auto"/>
        <w:rPr>
          <w:sz w:val="24"/>
          <w:szCs w:val="24"/>
        </w:rPr>
      </w:pPr>
      <w:r w:rsidRPr="001E7450">
        <w:rPr>
          <w:sz w:val="24"/>
          <w:szCs w:val="24"/>
        </w:rPr>
        <w:lastRenderedPageBreak/>
        <w:t>Tutoring, counseling, and student service programs aimed at improving academic success, including remedial education and English language instruction.</w:t>
      </w:r>
    </w:p>
    <w:p w14:paraId="6D8F60D4" w14:textId="77777777" w:rsidR="00F60739" w:rsidRPr="001E7450" w:rsidRDefault="006E3FDC" w:rsidP="001E7450">
      <w:pPr>
        <w:pStyle w:val="ListParagraph"/>
        <w:numPr>
          <w:ilvl w:val="0"/>
          <w:numId w:val="3"/>
        </w:numPr>
        <w:spacing w:line="276" w:lineRule="auto"/>
        <w:rPr>
          <w:sz w:val="24"/>
          <w:szCs w:val="24"/>
        </w:rPr>
      </w:pPr>
      <w:r w:rsidRPr="001E7450">
        <w:rPr>
          <w:sz w:val="24"/>
          <w:szCs w:val="24"/>
        </w:rPr>
        <w:t>Articulation agreements and student support programs to facilitate transfers from two-year to four-year institutions.</w:t>
      </w:r>
    </w:p>
    <w:p w14:paraId="1843DDF9" w14:textId="77777777" w:rsidR="00F60739" w:rsidRPr="001E7450" w:rsidRDefault="006E3FDC" w:rsidP="001E7450">
      <w:pPr>
        <w:pStyle w:val="ListParagraph"/>
        <w:numPr>
          <w:ilvl w:val="0"/>
          <w:numId w:val="3"/>
        </w:numPr>
        <w:spacing w:line="276" w:lineRule="auto"/>
        <w:rPr>
          <w:sz w:val="24"/>
          <w:szCs w:val="24"/>
        </w:rPr>
      </w:pPr>
      <w:r w:rsidRPr="001E7450">
        <w:rPr>
          <w:sz w:val="24"/>
          <w:szCs w:val="24"/>
        </w:rPr>
        <w:t>Funds management, administrative management, and acquisition of equipment for strengthening funds management.</w:t>
      </w:r>
    </w:p>
    <w:p w14:paraId="3EA2A9F8" w14:textId="77777777" w:rsidR="005A78BD" w:rsidRPr="001E7450" w:rsidRDefault="006E3FDC" w:rsidP="001E7450">
      <w:pPr>
        <w:pStyle w:val="ListParagraph"/>
        <w:numPr>
          <w:ilvl w:val="0"/>
          <w:numId w:val="3"/>
        </w:numPr>
        <w:spacing w:line="276" w:lineRule="auto"/>
        <w:rPr>
          <w:sz w:val="24"/>
          <w:szCs w:val="24"/>
        </w:rPr>
      </w:pPr>
      <w:r w:rsidRPr="001E7450">
        <w:rPr>
          <w:sz w:val="24"/>
          <w:szCs w:val="24"/>
        </w:rPr>
        <w:t>Joint use of facilities like laboratories and libraries.</w:t>
      </w:r>
    </w:p>
    <w:p w14:paraId="1E4FEB61" w14:textId="77777777" w:rsidR="00E25C36" w:rsidRPr="001E7450" w:rsidRDefault="005A78BD" w:rsidP="001E7450">
      <w:pPr>
        <w:pStyle w:val="ListParagraph"/>
        <w:numPr>
          <w:ilvl w:val="0"/>
          <w:numId w:val="3"/>
        </w:numPr>
        <w:spacing w:line="276" w:lineRule="auto"/>
        <w:rPr>
          <w:sz w:val="24"/>
          <w:szCs w:val="24"/>
        </w:rPr>
      </w:pPr>
      <w:r w:rsidRPr="001E7450">
        <w:rPr>
          <w:sz w:val="24"/>
          <w:szCs w:val="24"/>
        </w:rPr>
        <w:t>Establishing or improving development offices to increase contributions from alumni and the private sector.</w:t>
      </w:r>
    </w:p>
    <w:p w14:paraId="29408C3C" w14:textId="75AA38BF" w:rsidR="005A78BD" w:rsidRPr="001E7450" w:rsidRDefault="006E3FDC" w:rsidP="001E7450">
      <w:pPr>
        <w:pStyle w:val="ListParagraph"/>
        <w:numPr>
          <w:ilvl w:val="0"/>
          <w:numId w:val="3"/>
        </w:numPr>
        <w:spacing w:line="276" w:lineRule="auto"/>
        <w:rPr>
          <w:sz w:val="24"/>
          <w:szCs w:val="24"/>
        </w:rPr>
      </w:pPr>
      <w:r w:rsidRPr="001E7450">
        <w:rPr>
          <w:sz w:val="24"/>
          <w:szCs w:val="24"/>
        </w:rPr>
        <w:t>Establishing or improving an endowment fund.</w:t>
      </w:r>
    </w:p>
    <w:p w14:paraId="7308F8A5" w14:textId="77777777" w:rsidR="00E25C36" w:rsidRPr="001E7450" w:rsidRDefault="00E25C36" w:rsidP="001E7450">
      <w:pPr>
        <w:pStyle w:val="ListParagraph"/>
        <w:numPr>
          <w:ilvl w:val="0"/>
          <w:numId w:val="3"/>
        </w:numPr>
        <w:spacing w:line="276" w:lineRule="auto"/>
        <w:rPr>
          <w:sz w:val="24"/>
          <w:szCs w:val="24"/>
        </w:rPr>
      </w:pPr>
      <w:r w:rsidRPr="001E7450">
        <w:rPr>
          <w:sz w:val="24"/>
          <w:szCs w:val="24"/>
        </w:rPr>
        <w:t>Creating or improving facilities for Internet or other distance education technologies.</w:t>
      </w:r>
    </w:p>
    <w:p w14:paraId="3A37D092" w14:textId="77777777" w:rsidR="00E25C36" w:rsidRPr="001E7450" w:rsidRDefault="00E25C36" w:rsidP="001E7450">
      <w:pPr>
        <w:pStyle w:val="ListParagraph"/>
        <w:numPr>
          <w:ilvl w:val="0"/>
          <w:numId w:val="3"/>
        </w:numPr>
        <w:spacing w:line="276" w:lineRule="auto"/>
        <w:rPr>
          <w:sz w:val="24"/>
          <w:szCs w:val="24"/>
        </w:rPr>
      </w:pPr>
      <w:r w:rsidRPr="001E7450">
        <w:rPr>
          <w:sz w:val="24"/>
          <w:szCs w:val="24"/>
        </w:rPr>
        <w:t>Establishing or enhancing teacher education programs.</w:t>
      </w:r>
    </w:p>
    <w:p w14:paraId="0A4949FC" w14:textId="77777777" w:rsidR="00E25C36" w:rsidRPr="001E7450" w:rsidRDefault="00E25C36" w:rsidP="001E7450">
      <w:pPr>
        <w:pStyle w:val="ListParagraph"/>
        <w:numPr>
          <w:ilvl w:val="0"/>
          <w:numId w:val="3"/>
        </w:numPr>
        <w:spacing w:line="276" w:lineRule="auto"/>
        <w:rPr>
          <w:sz w:val="24"/>
          <w:szCs w:val="24"/>
        </w:rPr>
      </w:pPr>
      <w:r w:rsidRPr="001E7450">
        <w:rPr>
          <w:sz w:val="24"/>
          <w:szCs w:val="24"/>
        </w:rPr>
        <w:t>Establishing community outreach programs to encourage elementary and secondary school students to pursue postsecondary education.</w:t>
      </w:r>
    </w:p>
    <w:p w14:paraId="38A7ECF6" w14:textId="77777777" w:rsidR="00E25C36" w:rsidRPr="001E7450" w:rsidRDefault="00E25C36" w:rsidP="001E7450">
      <w:pPr>
        <w:pStyle w:val="ListParagraph"/>
        <w:numPr>
          <w:ilvl w:val="0"/>
          <w:numId w:val="3"/>
        </w:numPr>
        <w:spacing w:line="276" w:lineRule="auto"/>
        <w:rPr>
          <w:sz w:val="24"/>
          <w:szCs w:val="24"/>
        </w:rPr>
      </w:pPr>
      <w:r w:rsidRPr="001E7450">
        <w:rPr>
          <w:sz w:val="24"/>
          <w:szCs w:val="24"/>
        </w:rPr>
        <w:t>Expanding the number of Hispanic and other underrepresented graduate and professional students served by the institution.</w:t>
      </w:r>
    </w:p>
    <w:p w14:paraId="223C0142" w14:textId="398A322E" w:rsidR="00E25C36" w:rsidRPr="001E7450" w:rsidRDefault="00E25C36" w:rsidP="001E7450">
      <w:pPr>
        <w:pStyle w:val="ListParagraph"/>
        <w:numPr>
          <w:ilvl w:val="0"/>
          <w:numId w:val="3"/>
        </w:numPr>
        <w:spacing w:line="276" w:lineRule="auto"/>
        <w:rPr>
          <w:sz w:val="24"/>
          <w:szCs w:val="24"/>
        </w:rPr>
      </w:pPr>
      <w:r w:rsidRPr="001E7450">
        <w:rPr>
          <w:sz w:val="24"/>
          <w:szCs w:val="24"/>
        </w:rPr>
        <w:t>Providing education, counseling, or financial information to improve students' and their families' financial literacy, especially regarding student indebtedness and assistance programs under Title IV.</w:t>
      </w:r>
    </w:p>
    <w:p w14:paraId="0429FDB2" w14:textId="050E2135" w:rsidR="006C55DE" w:rsidRPr="001E7450" w:rsidRDefault="00EC64D8" w:rsidP="001E7450">
      <w:pPr>
        <w:spacing w:line="276" w:lineRule="auto"/>
        <w:rPr>
          <w:rFonts w:ascii="Times New Roman" w:hAnsi="Times New Roman" w:cs="Times New Roman"/>
          <w:sz w:val="24"/>
          <w:szCs w:val="24"/>
        </w:rPr>
      </w:pPr>
      <w:r w:rsidRPr="001E7450">
        <w:rPr>
          <w:rFonts w:ascii="Times New Roman" w:hAnsi="Times New Roman" w:cs="Times New Roman"/>
          <w:sz w:val="24"/>
          <w:szCs w:val="24"/>
        </w:rPr>
        <w:t xml:space="preserve"> </w:t>
      </w:r>
    </w:p>
    <w:sectPr w:rsidR="006C55DE" w:rsidRPr="001E74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B822" w14:textId="77777777" w:rsidR="00516C93" w:rsidRDefault="00516C93" w:rsidP="000D0862">
      <w:pPr>
        <w:spacing w:after="0" w:line="240" w:lineRule="auto"/>
      </w:pPr>
      <w:r>
        <w:separator/>
      </w:r>
    </w:p>
  </w:endnote>
  <w:endnote w:type="continuationSeparator" w:id="0">
    <w:p w14:paraId="33F10BE1" w14:textId="77777777" w:rsidR="00516C93" w:rsidRDefault="00516C93" w:rsidP="000D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236643"/>
      <w:docPartObj>
        <w:docPartGallery w:val="Page Numbers (Bottom of Page)"/>
        <w:docPartUnique/>
      </w:docPartObj>
    </w:sdtPr>
    <w:sdtEndPr>
      <w:rPr>
        <w:noProof/>
      </w:rPr>
    </w:sdtEndPr>
    <w:sdtContent>
      <w:p w14:paraId="2E5FBDB0" w14:textId="160D259F" w:rsidR="000D0862" w:rsidRDefault="000D0862">
        <w:pPr>
          <w:pStyle w:val="Footer"/>
          <w:jc w:val="center"/>
        </w:pPr>
        <w:r>
          <w:fldChar w:fldCharType="begin"/>
        </w:r>
        <w:r>
          <w:instrText xml:space="preserve"> PAGE   \* MERGEFORMAT </w:instrText>
        </w:r>
        <w:r>
          <w:fldChar w:fldCharType="separate"/>
        </w:r>
        <w:r>
          <w:rPr>
            <w:noProof/>
          </w:rPr>
          <w:t>2</w:t>
        </w:r>
        <w:r>
          <w:rPr>
            <w:noProof/>
          </w:rPr>
          <w:fldChar w:fldCharType="end"/>
        </w:r>
        <w:r w:rsidR="00AC4215">
          <w:rPr>
            <w:noProof/>
          </w:rPr>
          <w:t xml:space="preserve"> of 2</w:t>
        </w:r>
      </w:p>
    </w:sdtContent>
  </w:sdt>
  <w:p w14:paraId="1CAE09FD" w14:textId="77777777" w:rsidR="000D0862" w:rsidRDefault="000D0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6AB31" w14:textId="77777777" w:rsidR="00516C93" w:rsidRDefault="00516C93" w:rsidP="000D0862">
      <w:pPr>
        <w:spacing w:after="0" w:line="240" w:lineRule="auto"/>
      </w:pPr>
      <w:r>
        <w:separator/>
      </w:r>
    </w:p>
  </w:footnote>
  <w:footnote w:type="continuationSeparator" w:id="0">
    <w:p w14:paraId="42BDC0C7" w14:textId="77777777" w:rsidR="00516C93" w:rsidRDefault="00516C93" w:rsidP="000D0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85F8A"/>
    <w:multiLevelType w:val="hybridMultilevel"/>
    <w:tmpl w:val="080031C8"/>
    <w:lvl w:ilvl="0" w:tplc="22125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8E00DE"/>
    <w:multiLevelType w:val="hybridMultilevel"/>
    <w:tmpl w:val="D6BCA6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F77B62"/>
    <w:multiLevelType w:val="hybridMultilevel"/>
    <w:tmpl w:val="F43E8A60"/>
    <w:lvl w:ilvl="0" w:tplc="2212528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042024">
    <w:abstractNumId w:val="0"/>
  </w:num>
  <w:num w:numId="2" w16cid:durableId="633145407">
    <w:abstractNumId w:val="2"/>
  </w:num>
  <w:num w:numId="3" w16cid:durableId="2014794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7C"/>
    <w:rsid w:val="00000CBF"/>
    <w:rsid w:val="000321A8"/>
    <w:rsid w:val="000A3288"/>
    <w:rsid w:val="000D0862"/>
    <w:rsid w:val="000D140E"/>
    <w:rsid w:val="000D4B30"/>
    <w:rsid w:val="001979C3"/>
    <w:rsid w:val="001E7450"/>
    <w:rsid w:val="0029187C"/>
    <w:rsid w:val="002A423F"/>
    <w:rsid w:val="002E7E3A"/>
    <w:rsid w:val="003846C0"/>
    <w:rsid w:val="00465BFF"/>
    <w:rsid w:val="004A2633"/>
    <w:rsid w:val="00516C93"/>
    <w:rsid w:val="00532A0D"/>
    <w:rsid w:val="00557DD4"/>
    <w:rsid w:val="005A78BD"/>
    <w:rsid w:val="00632834"/>
    <w:rsid w:val="006672CE"/>
    <w:rsid w:val="006C55DE"/>
    <w:rsid w:val="006E3FDC"/>
    <w:rsid w:val="00717C88"/>
    <w:rsid w:val="00730647"/>
    <w:rsid w:val="007571E7"/>
    <w:rsid w:val="007906C1"/>
    <w:rsid w:val="007923C2"/>
    <w:rsid w:val="007B2B68"/>
    <w:rsid w:val="007C5611"/>
    <w:rsid w:val="007E5965"/>
    <w:rsid w:val="00856696"/>
    <w:rsid w:val="008924CA"/>
    <w:rsid w:val="008C72C8"/>
    <w:rsid w:val="00964662"/>
    <w:rsid w:val="009B02E3"/>
    <w:rsid w:val="00A61121"/>
    <w:rsid w:val="00AC4215"/>
    <w:rsid w:val="00AF084A"/>
    <w:rsid w:val="00AF1126"/>
    <w:rsid w:val="00B46247"/>
    <w:rsid w:val="00B5092D"/>
    <w:rsid w:val="00B879C8"/>
    <w:rsid w:val="00C16643"/>
    <w:rsid w:val="00C9628F"/>
    <w:rsid w:val="00CF68EE"/>
    <w:rsid w:val="00CF7781"/>
    <w:rsid w:val="00D519C4"/>
    <w:rsid w:val="00D5722C"/>
    <w:rsid w:val="00DC1634"/>
    <w:rsid w:val="00E25C36"/>
    <w:rsid w:val="00EA6FA8"/>
    <w:rsid w:val="00EC64D8"/>
    <w:rsid w:val="00F60739"/>
    <w:rsid w:val="00F846A1"/>
    <w:rsid w:val="04560FA2"/>
    <w:rsid w:val="21822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E754"/>
  <w15:chartTrackingRefBased/>
  <w15:docId w15:val="{30A475BC-5391-4C5E-B598-69690FA4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87C"/>
    <w:pPr>
      <w:spacing w:line="259" w:lineRule="auto"/>
    </w:pPr>
    <w:rPr>
      <w:rFonts w:asciiTheme="minorHAnsi" w:hAnsiTheme="minorHAnsi" w:cstheme="minorBidi"/>
      <w:kern w:val="2"/>
      <w14:ligatures w14:val="standardContextual"/>
    </w:rPr>
  </w:style>
  <w:style w:type="paragraph" w:styleId="Heading1">
    <w:name w:val="heading 1"/>
    <w:basedOn w:val="Normal"/>
    <w:next w:val="Normal"/>
    <w:link w:val="Heading1Char"/>
    <w:uiPriority w:val="9"/>
    <w:qFormat/>
    <w:rsid w:val="0029187C"/>
    <w:pPr>
      <w:keepNext/>
      <w:keepLines/>
      <w:spacing w:before="360" w:after="80" w:line="278" w:lineRule="auto"/>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29187C"/>
    <w:pPr>
      <w:keepNext/>
      <w:keepLines/>
      <w:spacing w:before="160" w:after="80" w:line="278"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29187C"/>
    <w:pPr>
      <w:keepNext/>
      <w:keepLines/>
      <w:spacing w:before="160" w:after="80" w:line="278" w:lineRule="auto"/>
      <w:outlineLvl w:val="2"/>
    </w:pPr>
    <w:rPr>
      <w:rFonts w:eastAsiaTheme="majorEastAsia" w:cstheme="majorBidi"/>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29187C"/>
    <w:pPr>
      <w:keepNext/>
      <w:keepLines/>
      <w:spacing w:before="80" w:after="40" w:line="278" w:lineRule="auto"/>
      <w:outlineLvl w:val="3"/>
    </w:pPr>
    <w:rPr>
      <w:rFonts w:eastAsiaTheme="majorEastAsia" w:cstheme="majorBidi"/>
      <w:i/>
      <w:iCs/>
      <w:color w:val="0F4761" w:themeColor="accent1" w:themeShade="BF"/>
      <w:kern w:val="0"/>
      <w14:ligatures w14:val="none"/>
    </w:rPr>
  </w:style>
  <w:style w:type="paragraph" w:styleId="Heading5">
    <w:name w:val="heading 5"/>
    <w:basedOn w:val="Normal"/>
    <w:next w:val="Normal"/>
    <w:link w:val="Heading5Char"/>
    <w:uiPriority w:val="9"/>
    <w:semiHidden/>
    <w:unhideWhenUsed/>
    <w:qFormat/>
    <w:rsid w:val="0029187C"/>
    <w:pPr>
      <w:keepNext/>
      <w:keepLines/>
      <w:spacing w:before="80" w:after="40" w:line="278" w:lineRule="auto"/>
      <w:outlineLvl w:val="4"/>
    </w:pPr>
    <w:rPr>
      <w:rFonts w:eastAsiaTheme="majorEastAsia" w:cstheme="majorBidi"/>
      <w:color w:val="0F4761" w:themeColor="accent1" w:themeShade="BF"/>
      <w:kern w:val="0"/>
      <w14:ligatures w14:val="none"/>
    </w:rPr>
  </w:style>
  <w:style w:type="paragraph" w:styleId="Heading6">
    <w:name w:val="heading 6"/>
    <w:basedOn w:val="Normal"/>
    <w:next w:val="Normal"/>
    <w:link w:val="Heading6Char"/>
    <w:uiPriority w:val="9"/>
    <w:semiHidden/>
    <w:unhideWhenUsed/>
    <w:qFormat/>
    <w:rsid w:val="0029187C"/>
    <w:pPr>
      <w:keepNext/>
      <w:keepLines/>
      <w:spacing w:before="40" w:after="0" w:line="278" w:lineRule="auto"/>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29187C"/>
    <w:pPr>
      <w:keepNext/>
      <w:keepLines/>
      <w:spacing w:before="40" w:after="0" w:line="278" w:lineRule="auto"/>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29187C"/>
    <w:pPr>
      <w:keepNext/>
      <w:keepLines/>
      <w:spacing w:after="0" w:line="278" w:lineRule="auto"/>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29187C"/>
    <w:pPr>
      <w:keepNext/>
      <w:keepLines/>
      <w:spacing w:after="0" w:line="278" w:lineRule="auto"/>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87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8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18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18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18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18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18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187C"/>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291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87C"/>
    <w:pPr>
      <w:numPr>
        <w:ilvl w:val="1"/>
      </w:numPr>
      <w:spacing w:line="278"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2918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187C"/>
    <w:pPr>
      <w:spacing w:before="160" w:line="278" w:lineRule="auto"/>
      <w:jc w:val="center"/>
    </w:pPr>
    <w:rPr>
      <w:rFonts w:ascii="Times New Roman" w:hAnsi="Times New Roman" w:cs="Times New Roman"/>
      <w:i/>
      <w:iCs/>
      <w:color w:val="404040" w:themeColor="text1" w:themeTint="BF"/>
      <w:kern w:val="0"/>
      <w14:ligatures w14:val="none"/>
    </w:rPr>
  </w:style>
  <w:style w:type="character" w:customStyle="1" w:styleId="QuoteChar">
    <w:name w:val="Quote Char"/>
    <w:basedOn w:val="DefaultParagraphFont"/>
    <w:link w:val="Quote"/>
    <w:uiPriority w:val="29"/>
    <w:rsid w:val="0029187C"/>
    <w:rPr>
      <w:i/>
      <w:iCs/>
      <w:color w:val="404040" w:themeColor="text1" w:themeTint="BF"/>
    </w:rPr>
  </w:style>
  <w:style w:type="paragraph" w:styleId="ListParagraph">
    <w:name w:val="List Paragraph"/>
    <w:basedOn w:val="Normal"/>
    <w:uiPriority w:val="34"/>
    <w:qFormat/>
    <w:rsid w:val="0029187C"/>
    <w:pPr>
      <w:spacing w:line="278" w:lineRule="auto"/>
      <w:ind w:left="720"/>
      <w:contextualSpacing/>
    </w:pPr>
    <w:rPr>
      <w:rFonts w:ascii="Times New Roman" w:hAnsi="Times New Roman" w:cs="Times New Roman"/>
      <w:kern w:val="0"/>
      <w14:ligatures w14:val="none"/>
    </w:rPr>
  </w:style>
  <w:style w:type="character" w:styleId="IntenseEmphasis">
    <w:name w:val="Intense Emphasis"/>
    <w:basedOn w:val="DefaultParagraphFont"/>
    <w:uiPriority w:val="21"/>
    <w:qFormat/>
    <w:rsid w:val="0029187C"/>
    <w:rPr>
      <w:i/>
      <w:iCs/>
      <w:color w:val="0F4761" w:themeColor="accent1" w:themeShade="BF"/>
    </w:rPr>
  </w:style>
  <w:style w:type="paragraph" w:styleId="IntenseQuote">
    <w:name w:val="Intense Quote"/>
    <w:basedOn w:val="Normal"/>
    <w:next w:val="Normal"/>
    <w:link w:val="IntenseQuoteChar"/>
    <w:uiPriority w:val="30"/>
    <w:qFormat/>
    <w:rsid w:val="002918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hAnsi="Times New Roman" w:cs="Times New Roman"/>
      <w:i/>
      <w:iCs/>
      <w:color w:val="0F4761" w:themeColor="accent1" w:themeShade="BF"/>
      <w:kern w:val="0"/>
      <w14:ligatures w14:val="none"/>
    </w:rPr>
  </w:style>
  <w:style w:type="character" w:customStyle="1" w:styleId="IntenseQuoteChar">
    <w:name w:val="Intense Quote Char"/>
    <w:basedOn w:val="DefaultParagraphFont"/>
    <w:link w:val="IntenseQuote"/>
    <w:uiPriority w:val="30"/>
    <w:rsid w:val="0029187C"/>
    <w:rPr>
      <w:i/>
      <w:iCs/>
      <w:color w:val="0F4761" w:themeColor="accent1" w:themeShade="BF"/>
    </w:rPr>
  </w:style>
  <w:style w:type="character" w:styleId="IntenseReference">
    <w:name w:val="Intense Reference"/>
    <w:basedOn w:val="DefaultParagraphFont"/>
    <w:uiPriority w:val="32"/>
    <w:qFormat/>
    <w:rsid w:val="0029187C"/>
    <w:rPr>
      <w:b/>
      <w:bCs/>
      <w:smallCaps/>
      <w:color w:val="0F4761" w:themeColor="accent1" w:themeShade="BF"/>
      <w:spacing w:val="5"/>
    </w:rPr>
  </w:style>
  <w:style w:type="paragraph" w:styleId="Header">
    <w:name w:val="header"/>
    <w:basedOn w:val="Normal"/>
    <w:link w:val="HeaderChar"/>
    <w:uiPriority w:val="99"/>
    <w:unhideWhenUsed/>
    <w:rsid w:val="000D0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862"/>
    <w:rPr>
      <w:rFonts w:asciiTheme="minorHAnsi" w:hAnsiTheme="minorHAnsi" w:cstheme="minorBidi"/>
      <w:kern w:val="2"/>
      <w14:ligatures w14:val="standardContextual"/>
    </w:rPr>
  </w:style>
  <w:style w:type="paragraph" w:styleId="Footer">
    <w:name w:val="footer"/>
    <w:basedOn w:val="Normal"/>
    <w:link w:val="FooterChar"/>
    <w:uiPriority w:val="99"/>
    <w:unhideWhenUsed/>
    <w:rsid w:val="000D0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862"/>
    <w:rPr>
      <w:rFonts w:ascii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Doppel, Emily (HOU)</dc:creator>
  <cp:keywords/>
  <dc:description/>
  <cp:lastModifiedBy>Doppel, Emily (HOU)</cp:lastModifiedBy>
  <cp:revision>46</cp:revision>
  <cp:lastPrinted>2025-09-30T13:24:00Z</cp:lastPrinted>
  <dcterms:created xsi:type="dcterms:W3CDTF">2025-09-15T17:38:00Z</dcterms:created>
  <dcterms:modified xsi:type="dcterms:W3CDTF">2025-09-30T19:32:00Z</dcterms:modified>
</cp:coreProperties>
</file>