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b w:val="1"/>
          <w:sz w:val="24"/>
          <w:szCs w:val="24"/>
          <w:rtl w:val="0"/>
        </w:rPr>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7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65"/>
        <w:tblGridChange w:id="0">
          <w:tblGrid>
            <w:gridCol w:w="2610"/>
            <w:gridCol w:w="676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911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truth in labeling of recyclable and compostable goods</w:t>
            </w:r>
          </w:p>
        </w:tc>
      </w:tr>
      <w:tr>
        <w:trPr>
          <w:cantSplit w:val="0"/>
          <w:trHeight w:val="81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Ciccolo </w:t>
            </w:r>
            <w:r w:rsidDel="00000000" w:rsidR="00000000" w:rsidRPr="00000000">
              <w:rPr>
                <w:rtl w:val="0"/>
              </w:rPr>
            </w:r>
          </w:p>
        </w:tc>
      </w:tr>
      <w:tr>
        <w:trPr>
          <w:cantSplit w:val="0"/>
          <w:trHeight w:val="560.0000000000006"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   </w:t>
            </w: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Massachusetts General Law is amended with the insertion of Chapter 21P: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1: Definitions</w:t>
              <w:br w:type="textWrapping"/>
            </w:r>
            <w:r w:rsidDel="00000000" w:rsidR="00000000" w:rsidRPr="00000000">
              <w:rPr>
                <w:rFonts w:ascii="Times New Roman" w:cs="Times New Roman" w:eastAsia="Times New Roman" w:hAnsi="Times New Roman"/>
                <w:color w:val="333333"/>
                <w:sz w:val="24"/>
                <w:szCs w:val="24"/>
                <w:highlight w:val="white"/>
                <w:rtl w:val="0"/>
              </w:rPr>
              <w:t xml:space="preserve">This section defines key terms used in the legislation. It clarifies that “ASTM,” “ISO,” and “EN” refer to standard-setting organizations. Terms like “chasing arrows symbol,” “container,” “packaging material,” and “label” are defined to describe various packaging and labeling formats.  It also specifies “PFAS” as harmful fluorinated chemicals, and defines “plastic” and “plastic packaging material.”  The term “producer” outlines who is responsible for compliance, based on branding, manufacturing, or distribution roles.  A “resin identification code” is described as a label identifying plastic resin types.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2: Recyclability Claims</w:t>
              <w:br w:type="textWrapping"/>
            </w:r>
            <w:r w:rsidDel="00000000" w:rsidR="00000000" w:rsidRPr="00000000">
              <w:rPr>
                <w:rFonts w:ascii="Times New Roman" w:cs="Times New Roman" w:eastAsia="Times New Roman" w:hAnsi="Times New Roman"/>
                <w:color w:val="333333"/>
                <w:sz w:val="24"/>
                <w:szCs w:val="24"/>
                <w:highlight w:val="white"/>
                <w:rtl w:val="0"/>
              </w:rPr>
              <w:t xml:space="preserve">One year after the law takes effect, producers are banned from making misleading recyclability claims unless certain criteria are met.  Packaging is considered recyclable only if it's widely collected and processed in the state, meets design and chemical requirements, and avoids PFAS.  The law allows DEP to define additional qualifying recycling standards.  Exceptions are provided for items clearly marked as not recyclable or with resin codes inside specific triangles.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3: Compostability Claims</w:t>
              <w:br w:type="textWrapping"/>
            </w:r>
            <w:r w:rsidDel="00000000" w:rsidR="00000000" w:rsidRPr="00000000">
              <w:rPr>
                <w:rFonts w:ascii="Times New Roman" w:cs="Times New Roman" w:eastAsia="Times New Roman" w:hAnsi="Times New Roman"/>
                <w:color w:val="333333"/>
                <w:sz w:val="24"/>
                <w:szCs w:val="24"/>
                <w:highlight w:val="white"/>
                <w:rtl w:val="0"/>
              </w:rPr>
              <w:t xml:space="preserve">This section prohibits misleading compostability claims for containers and packaging unless they meet recognized compostability standards.  Acceptable standards include specific ASTM, ISO, and EN certifications, or materials like untreated wood or pure fiber-based substrates without plastic additives.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4: Chasing Arrows on Compostable Products</w:t>
              <w:br w:type="textWrapping"/>
            </w:r>
            <w:r w:rsidDel="00000000" w:rsidR="00000000" w:rsidRPr="00000000">
              <w:rPr>
                <w:rFonts w:ascii="Times New Roman" w:cs="Times New Roman" w:eastAsia="Times New Roman" w:hAnsi="Times New Roman"/>
                <w:color w:val="333333"/>
                <w:sz w:val="24"/>
                <w:szCs w:val="24"/>
                <w:highlight w:val="white"/>
                <w:rtl w:val="0"/>
              </w:rPr>
              <w:t xml:space="preserve">Producers of compostable packaging are prohibited from using recycling symbols, resin codes, or chasing arrows on their products, to avoid consumer confusion between recyclable and compostable items.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5: Compostable Product Labeling</w:t>
              <w:br w:type="textWrapping"/>
            </w:r>
            <w:r w:rsidDel="00000000" w:rsidR="00000000" w:rsidRPr="00000000">
              <w:rPr>
                <w:rFonts w:ascii="Times New Roman" w:cs="Times New Roman" w:eastAsia="Times New Roman" w:hAnsi="Times New Roman"/>
                <w:color w:val="333333"/>
                <w:sz w:val="24"/>
                <w:szCs w:val="24"/>
                <w:highlight w:val="white"/>
                <w:rtl w:val="0"/>
              </w:rPr>
              <w:t xml:space="preserve">Compostable products must have clear labeling that meets visibility standards and includes third-party certification.  Labels should use green, beige, or brown coloring to distinguish compostable from non-compostable items and indicate whether they’re suitable for commercial or residential composting.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6: Ban on Certain Terms for Plastic Products</w:t>
              <w:br w:type="textWrapping"/>
            </w:r>
            <w:r w:rsidDel="00000000" w:rsidR="00000000" w:rsidRPr="00000000">
              <w:rPr>
                <w:rFonts w:ascii="Times New Roman" w:cs="Times New Roman" w:eastAsia="Times New Roman" w:hAnsi="Times New Roman"/>
                <w:color w:val="333333"/>
                <w:sz w:val="24"/>
                <w:szCs w:val="24"/>
                <w:highlight w:val="white"/>
                <w:rtl w:val="0"/>
              </w:rPr>
              <w:t xml:space="preserve">Plastic containers and packaging cannot be labeled with misleading terms such as “biodegradable,” “degradable,” or similar, which suggest the product breaks down naturally in landfills or the environment.</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7: Rulemaking</w:t>
              <w:br w:type="textWrapping"/>
            </w:r>
            <w:r w:rsidDel="00000000" w:rsidR="00000000" w:rsidRPr="00000000">
              <w:rPr>
                <w:rFonts w:ascii="Times New Roman" w:cs="Times New Roman" w:eastAsia="Times New Roman" w:hAnsi="Times New Roman"/>
                <w:color w:val="333333"/>
                <w:sz w:val="24"/>
                <w:szCs w:val="24"/>
                <w:highlight w:val="white"/>
                <w:rtl w:val="0"/>
              </w:rPr>
              <w:t xml:space="preserve">DEP is tasked with creating rules and regulations necessary to implement and enforce the provisions of the act.</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Section 8: Enforcement</w:t>
              <w:br w:type="textWrapping"/>
            </w:r>
            <w:r w:rsidDel="00000000" w:rsidR="00000000" w:rsidRPr="00000000">
              <w:rPr>
                <w:rFonts w:ascii="Times New Roman" w:cs="Times New Roman" w:eastAsia="Times New Roman" w:hAnsi="Times New Roman"/>
                <w:color w:val="333333"/>
                <w:sz w:val="24"/>
                <w:szCs w:val="24"/>
                <w:highlight w:val="white"/>
                <w:rtl w:val="0"/>
              </w:rPr>
              <w:t xml:space="preserve">DEP will issue warnings for initial violations. Continued violations warrant escalating fines up to $10,000 for a second offense, $20,000 for a third, and $40,000 for a fourth. Each day a violation persists counts as a separate offense.</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tl w:val="0"/>
              </w:rPr>
            </w:r>
          </w:p>
        </w:tc>
      </w:tr>
    </w:tbl>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