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6735"/>
        <w:tblGridChange w:id="0">
          <w:tblGrid>
            <w:gridCol w:w="2610"/>
            <w:gridCol w:w="673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912</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reduce polystyrene in the environment</w:t>
            </w:r>
          </w:p>
        </w:tc>
      </w:tr>
      <w:tr>
        <w:trPr>
          <w:cantSplit w:val="0"/>
          <w:trHeight w:val="81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Ciccolo </w:t>
            </w:r>
            <w:r w:rsidDel="00000000" w:rsidR="00000000" w:rsidRPr="00000000">
              <w:rPr>
                <w:rtl w:val="0"/>
              </w:rPr>
            </w:r>
          </w:p>
        </w:tc>
      </w:tr>
      <w:tr>
        <w:trPr>
          <w:cantSplit w:val="0"/>
          <w:trHeight w:val="737.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S.629, Senator Lewis</w:t>
            </w:r>
          </w:p>
        </w:tc>
      </w:tr>
      <w:tr>
        <w:trPr>
          <w:cantSplit w:val="0"/>
          <w:trHeight w:val="994.74609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   </w:t>
            </w:r>
            <w:r w:rsidDel="00000000" w:rsidR="00000000" w:rsidRPr="00000000">
              <w:rPr>
                <w:rtl w:val="0"/>
              </w:rPr>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MGL by creating Chapter 21P, which bans the use and distribution of polystyrene (foam and solid forms) in food and retail establishments, aiming to reduce environmental pollution from single-use plastics. Materials include trays, coolers, packaging materials, and certain recreational products (pool and beach toys, etc). One year after the bill’s enactment, food establishments cannot use or distribute polystyrene disposable foodware.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Individuals may use polystyrene items purchased out of state for personal use and prepared food packaged out-of-state and sold in its original container. Temporary exemptions (up to 6 months) may be granted by the DEP or local Boards of Health for undue hardship or if a food establishment or retail establishment requires more time to draw down an existing inventory of a specific item regulated within this chapter.</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Local health agencies will enforce this chapter. Violations to this chapter begin with a written warning and may escalate to fines of up to $500 per violation. All local Boards of Health may adopt additional rules and in the event of conflicting regulations, the stricter standard will prevail. This legislation includes a severability clause to ensure that the remainder of the law remains effective even if any part is altered.</w:t>
            </w:r>
            <w:r w:rsidDel="00000000" w:rsidR="00000000" w:rsidRPr="00000000">
              <w:rPr>
                <w:rtl w:val="0"/>
              </w:rPr>
            </w:r>
          </w:p>
        </w:tc>
      </w:tr>
    </w:tbl>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