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0"/>
        <w:gridCol w:w="6735"/>
        <w:tblGridChange w:id="0">
          <w:tblGrid>
            <w:gridCol w:w="2610"/>
            <w:gridCol w:w="673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914</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create fees for single use disposable food containers</w:t>
            </w:r>
          </w:p>
        </w:tc>
      </w:tr>
      <w:tr>
        <w:trPr>
          <w:cantSplit w:val="0"/>
          <w:trHeight w:val="81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Ciccolo </w:t>
            </w:r>
            <w:r w:rsidDel="00000000" w:rsidR="00000000" w:rsidRPr="00000000">
              <w:rPr>
                <w:rtl w:val="0"/>
              </w:rPr>
            </w:r>
          </w:p>
        </w:tc>
      </w:tr>
      <w:tr>
        <w:trPr>
          <w:cantSplit w:val="0"/>
          <w:trHeight w:val="560.0000000000006"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  </w:t>
            </w: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commentRangeStart w:id="0"/>
            <w:commentRangeStart w:id="1"/>
            <w:commentRangeStart w:id="2"/>
            <w:r w:rsidDel="00000000" w:rsidR="00000000" w:rsidRPr="00000000">
              <w:rPr>
                <w:rFonts w:ascii="Times New Roman" w:cs="Times New Roman" w:eastAsia="Times New Roman" w:hAnsi="Times New Roman"/>
                <w:b w:val="1"/>
                <w:sz w:val="24"/>
                <w:szCs w:val="24"/>
                <w:u w:val="single"/>
                <w:rtl w:val="0"/>
              </w:rPr>
              <w:t xml:space="preserve">SUMMARY</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seeks to reduce restaurant packaging waste by requiring restaurants to provide reusable food serviceware. This legislation creates the Clean Environment Fund to support solid waste reduction, recycling, composting, and environmental protection. Within this fund, 40% must be used to support reuse, recycling, and composting programs. 10% must be used to support other waste-related initiatives. Additionally, not more than 50% of the fund may go to other environmental programs.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Restaurants will offer reusable beverage containers to customers, however, if a customer does not use one, a $0.01 fee will be charged for each disposable beverage container used, with funds directed to the Clean Environment Fund. Some exceptions to this may apply (e.g., safety concerns, prepackaged items, airport vendors).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Department of Environmental Protection will enforce this act and issue violations. The first violation will be a written warning, the second a fine of up to $50 and any subsequent violations will be at least $150. All fines will go towards the Reduce, Reuse, Repair Micro-Grant program within DEP. </w:t>
              <w:br w:type="textWrapping"/>
              <w:br w:type="textWrapping"/>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full-service restaurants must use reusable food serviceware for on-site dining. Single-use items may still be used for take-out or leftovers.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DEP will educate consumers, businesses, and delivery platforms about environmental and health harms of single-use items, the benefits of using reusable food servicewear, the concerns associated with landfilling and incineration of waste, as well as the requirements of this act. The Department of Public Health will educate full-service</w:t>
            </w:r>
            <w:r w:rsidDel="00000000" w:rsidR="00000000" w:rsidRPr="00000000">
              <w:rPr>
                <w:rFonts w:ascii="Times New Roman" w:cs="Times New Roman" w:eastAsia="Times New Roman" w:hAnsi="Times New Roman"/>
                <w:sz w:val="24"/>
                <w:szCs w:val="24"/>
                <w:highlight w:val="white"/>
                <w:rtl w:val="0"/>
              </w:rPr>
              <w:t xml:space="preserve"> restaurants about the environmental benefits of reusable food serviceware and the requirements of this act.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Cities and counties may pass more restricting laws, ordinances, or regulations, governing the use of single-use food serviceware or single-use condiments as long as they do not violate the provisions of this act.</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education and outreach section of this act will take effect immediately. Section 5 will take effect one year after this bill’s passage as well as all other provisions outlined in this legislation. </w:t>
            </w:r>
            <w:r w:rsidDel="00000000" w:rsidR="00000000" w:rsidRPr="00000000">
              <w:rPr>
                <w:rtl w:val="0"/>
              </w:rPr>
            </w:r>
          </w:p>
        </w:tc>
      </w:tr>
    </w:tbl>
    <w:p w:rsidR="00000000" w:rsidDel="00000000" w:rsidP="00000000" w:rsidRDefault="00000000" w:rsidRPr="00000000" w14:paraId="00000018">
      <w:pPr>
        <w:spacing w:after="240" w:before="240" w:lineRule="auto"/>
        <w:rPr>
          <w:b w:val="1"/>
          <w:color w:val="333333"/>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mily Camizzi" w:id="0" w:date="2025-05-01T19:33:37Z">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bill is almost identical to H.913 (single use beverage containers)</w:t>
      </w:r>
    </w:p>
  </w:comment>
  <w:comment w:author="Christine Barber" w:id="1" w:date="2025-05-02T20:22:01Z">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is is a different product to recycle?</w:t>
      </w:r>
    </w:p>
  </w:comment>
  <w:comment w:author="Emily Camizzi" w:id="2" w:date="2025-05-05T13:41:45Z">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this is specifically for food service ware while the other bill focuses on beverage containers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