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6825"/>
        <w:tblGridChange w:id="0">
          <w:tblGrid>
            <w:gridCol w:w="2520"/>
            <w:gridCol w:w="6825"/>
          </w:tblGrid>
        </w:tblGridChange>
      </w:tblGrid>
      <w:tr>
        <w:trPr>
          <w:cantSplit w:val="0"/>
          <w:trHeight w:val="57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0" w:before="0"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4">
            <w:pPr>
              <w:spacing w:after="0" w:before="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925</w:t>
            </w:r>
          </w:p>
        </w:tc>
      </w:tr>
      <w:tr>
        <w:trPr>
          <w:cantSplit w:val="0"/>
          <w:trHeight w:val="33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0" w:before="0"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7">
            <w:pPr>
              <w:spacing w:after="0" w:before="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h4e7iht91zgg" w:id="0"/>
            <w:bookmarkEnd w:id="0"/>
            <w:r w:rsidDel="00000000" w:rsidR="00000000" w:rsidRPr="00000000">
              <w:rPr>
                <w:rFonts w:ascii="Times New Roman" w:cs="Times New Roman" w:eastAsia="Times New Roman" w:hAnsi="Times New Roman"/>
                <w:sz w:val="24"/>
                <w:szCs w:val="24"/>
                <w:highlight w:val="white"/>
                <w:rtl w:val="0"/>
              </w:rPr>
              <w:t xml:space="preserve">An Act to increase access to recycling</w:t>
            </w:r>
            <w:r w:rsidDel="00000000" w:rsidR="00000000" w:rsidRPr="00000000">
              <w:rPr>
                <w:rtl w:val="0"/>
              </w:rPr>
            </w:r>
          </w:p>
        </w:tc>
      </w:tr>
      <w:tr>
        <w:trPr>
          <w:cantSplit w:val="0"/>
          <w:trHeight w:val="6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0" w:before="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Representative Day </w:t>
            </w:r>
            <w:r w:rsidDel="00000000" w:rsidR="00000000" w:rsidRPr="00000000">
              <w:rPr>
                <w:rtl w:val="0"/>
              </w:rPr>
            </w:r>
          </w:p>
        </w:tc>
      </w:tr>
      <w:tr>
        <w:trPr>
          <w:cantSplit w:val="0"/>
          <w:trHeight w:val="347.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6677.968750000001"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E">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2015-2016: Filed as H647; Reported to Study by ENRA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2017-2018: Filed as H414; Reported to Study by ENRA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H747; Reported to Study by ENRA </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H876; Reported to study by ENRA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H780; Reported to study by ENR (Accompanied H4668)</w:t>
            </w:r>
            <w:r w:rsidDel="00000000" w:rsidR="00000000" w:rsidRPr="00000000">
              <w:rPr>
                <w:rtl w:val="0"/>
              </w:rPr>
            </w:r>
          </w:p>
          <w:p w:rsidR="00000000" w:rsidDel="00000000" w:rsidP="00000000" w:rsidRDefault="00000000" w:rsidRPr="00000000" w14:paraId="00000014">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bill creates Section 9 under Chapter 21H to reduce solid waste and its associated management and disposal costs, protect the environment, and provide citizens increased access to recycling. The bill addresses this goal by stating that all cities and towns in the Commonwealth providing curbside waste removal are required to also provide curbside pickup of recyclable material. Further, all cities and towns in the Commonwealth providing a site or facility for waste drop-off are required to offer recycling at that site or facility.  </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All materials set aside for recycling or placed in recycling containers will be delivered to recycling facilities. No one who transports solid waste will knowingly mix recyclable materials with solid waste destined for a solid waste transfer station or disposal facility. Further, no one who transports solid waste will knowingly transport recyclable materials, whether mixed with solid waste or pre-sorted, to a solid waste disposal facility or to a solid waste transfer station.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Anyone providing solid waste collection services in the Commonwealth will also provide single stream or dual stream recycling services to all of their MA single- and multi-family residential customers and to all of their commercial customers, including containers for storing and collecting recyclables. The recyclables collection service will be provided at a frequency of not less than once every other week. </w:t>
            </w:r>
          </w:p>
          <w:p w:rsidR="00000000" w:rsidDel="00000000" w:rsidP="00000000" w:rsidRDefault="00000000" w:rsidRPr="00000000" w14:paraId="00000018">
            <w:pPr>
              <w:spacing w:after="240" w:before="24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9">
            <w:pPr>
              <w:spacing w:after="240" w:before="240" w:lineRule="auto"/>
              <w:rPr>
                <w:rFonts w:ascii="Times New Roman" w:cs="Times New Roman" w:eastAsia="Times New Roman" w:hAnsi="Times New Roman"/>
                <w:sz w:val="24"/>
                <w:szCs w:val="24"/>
                <w:highlight w:val="white"/>
              </w:rPr>
            </w:pPr>
            <w:r w:rsidDel="00000000" w:rsidR="00000000" w:rsidRPr="00000000">
              <w:rPr>
                <w:rtl w:val="0"/>
              </w:rPr>
            </w:r>
          </w:p>
        </w:tc>
      </w:tr>
    </w:tbl>
    <w:p w:rsidR="00000000" w:rsidDel="00000000" w:rsidP="00000000" w:rsidRDefault="00000000" w:rsidRPr="00000000" w14:paraId="0000001B">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