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7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926</w:t>
            </w:r>
          </w:p>
        </w:tc>
      </w:tr>
      <w:tr>
        <w:trPr>
          <w:cantSplit w:val="0"/>
          <w:trHeight w:val="3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highlight w:val="white"/>
                <w:rtl w:val="0"/>
              </w:rPr>
              <w:t xml:space="preserve">An Act to save recycling costs in the commonwealth</w:t>
            </w:r>
            <w:r w:rsidDel="00000000" w:rsidR="00000000" w:rsidRPr="00000000">
              <w:rPr>
                <w:rtl w:val="0"/>
              </w:rPr>
            </w:r>
          </w:p>
        </w:tc>
      </w:tr>
      <w:tr>
        <w:trPr>
          <w:cantSplit w:val="0"/>
          <w:trHeight w:val="6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Representative Day </w:t>
            </w:r>
            <w:r w:rsidDel="00000000" w:rsidR="00000000" w:rsidRPr="00000000">
              <w:rPr>
                <w:rtl w:val="0"/>
              </w:rPr>
            </w:r>
          </w:p>
        </w:tc>
      </w:tr>
      <w:tr>
        <w:trPr>
          <w:cantSplit w:val="0"/>
          <w:trHeight w:val="34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77.968750000001"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H750; Reported favorably by ENRA; Referred to HWM where no further action was taken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H878; favorably redrafted by ENRA as H4851; referred to HWM where no further action was taken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2023-2024: Filed as H.779; favorably redrafted by ENR as H4263; referred to HWM where no further action was taken</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SUMMARY</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establishes an extended producer responsibility (EPR) program for packaging material in the Commonwealth. After enactment, all producers of covered materials sold or distributed for sale in the Commonwealth are required to form a producer responsibility organization (PRO) that will facilitate the post-consumer collection and stewardship of packaging materials.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shall promulgate rules and regulations for this legislation, after soliciting public input on draft regulations. DEP or the Attorney General's office will enforce the provisions of this legislation against non-compliant producers and may issue notices of violation and levy administrative civil penalties of not more than $100,000 per violation. These fines will be deposited into the Packaging Reduction Fund.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year after DEP has promulgated regulations, it must enter into a contract with a PRO after having approved its Packaging Reduction and Recycling Program plan. This plan must outline how the PRO will administer the program, compile information from participating producers, establish and manage the Packaging Reduction Fund, outline a financial assurance plan in case of contract termination with DEP, provide a proposed program budget, and describe how the PRO will conduct public outreach. Plans that receive DEP approval will be valid for 10 years. The State Comptroller shall conduct an annual audit of the PRO's program, which will be available as a public document.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year after DEP has approved the PRO program plan, no producers shall sell packaging products in the Commonwealth unless they are registered participants in the PRO program, annually report packaging volume metrics, are in full compliance with this legislation's toxic substances/packaging reduction/recycling requirements, and pay fees to the PRO based on the quantity and type of packaging used in the Commonwealth. DEP will promulgate regulations setting forth the manner in which producer fees to PROs will be calculated and assessed - this legislation provides a list of specific types of packaging materials that must carry a specific fee in Section 8(c). DEP will update and revise fees every 3 years, and fees must be calculated, assessed, and periodically adjusted in a manner that incentivizes producers to reduce total packaging weight, increase reuse and refill, and increase the percentage of packaging material that can be recycled. 1 year after DEP selects the PRO, and annually thereafter, DEP must work with the PRO to calculate the amount of packaging waste generated by producers and recycling rates for each type of material during the previous year, as well as identify producers believed to be out of compliance.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Producers are exempt from this legislation's requirements in a calendar year if they can provide DEP with sufficient information to demonstrate that they made less than $1,000,000 in gross revenue during the previous calendar year OR they sold products totaling less than 1 ton of packaging material in total during the previous calendar year.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Fees paid to the PRO by producers will be deposited into the Packaging Reduction Fund 1 year after first payment and annually thereafter. These fees will be used to fund program administration, including reimbursements to local governments for packaging waste management costs; reimbursements to DEP and other state agencies for administration and enforcement costs; investments in educational outreach and waste management infrastructure; and the costs of conducting a statewide needs assessment.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PRO must submit an annual report to DEP providing an overview of the amount of each type of covered material sold in the Commonwealth and collected by the PRO, a complete accounting of PRO program payments made to participating collectors, a copy of a third-party audit of the PRO, a description of investments made by the PRO in consumer education and management infrastructure, an updated fee schedule, a list of participating producers, a list of producers not participating in the program, and any product-specific non-compliance. The PRO must also conduct an annual review process to determine whether products and packaging materials are recyclable, in consultation with representatives of end markets for materials. The PRO must conduct public consumer outreach related to packaging waste reduction, including holding at least 3 public hearings in geographically diverse areas of the state each year to solicit public input.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establishes a schedule of specific packaging reduction, toxics reduction, and recycling requirements that producers must adhere to: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years after the producer first registers with the PRO, it must reduce packaging by 10% by weight; 4 years after it must reduce by 20% by weight; 6 years by 30% by weight; 8 years by 40% by weight; 10 years by 50% by weight.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years after the producer first registers with the PRO, not less than 30% of packaging must be recyclable material; 8 years, not less than 50%; 12 years, not less than 70%.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years after DEP's promulgation of regulations, no producer may sell packaging containing the toxic substances listed in Section 12(a); 3 years after promulgation and every 3 years thereafter, DEP shall designate at least 10 additional toxic substances that may no longer be sold in packaging in MA.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Within 6 months of enactment and every 5 years thereafter, DEP must issue a request for proposals for conducting a statewide packaging reduction, reuse, and recycling needs assessment, which must be completed no later than 18 months after enactment. The needs assessment will be funded by the Packaging Reduction and Recycling Fund, and DEP will report the results to the public, the media, the Legislature, the Governor, the Comptroller, and the Attorney General.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must establish an Independent Office of Inspector General within its department, for the purpose of annually evaluating all programs created by this legislation and confirming producer compliance.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10 citizens of the Commonwealth may commence a civil action against any entity (DEP, the PRO, individual producers or a group of producers, or the Office of the Inspector General) who are alleged to be in violation of this legislation's requirements.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