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7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945</w:t>
            </w:r>
          </w:p>
        </w:tc>
      </w:tr>
      <w:tr>
        <w:trPr>
          <w:cantSplit w:val="0"/>
          <w:trHeight w:val="33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dsgkjsxkebys" w:id="0"/>
            <w:bookmarkEnd w:id="0"/>
            <w:r w:rsidDel="00000000" w:rsidR="00000000" w:rsidRPr="00000000">
              <w:rPr>
                <w:rFonts w:ascii="Times New Roman" w:cs="Times New Roman" w:eastAsia="Times New Roman" w:hAnsi="Times New Roman"/>
                <w:sz w:val="24"/>
                <w:szCs w:val="24"/>
                <w:rtl w:val="0"/>
              </w:rPr>
              <w:t xml:space="preserve">An Act protecting wastewater and sewerage systems through the labeling of non-flushable wipes</w:t>
            </w:r>
          </w:p>
        </w:tc>
      </w:tr>
      <w:tr>
        <w:trPr>
          <w:cantSplit w:val="0"/>
          <w:trHeight w:val="6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Representatives Garballey, Owens, Schwartz, and Sangiolo</w:t>
            </w:r>
            <w:r w:rsidDel="00000000" w:rsidR="00000000" w:rsidRPr="00000000">
              <w:rPr>
                <w:rtl w:val="0"/>
              </w:rPr>
            </w:r>
          </w:p>
        </w:tc>
      </w:tr>
      <w:tr>
        <w:trPr>
          <w:cantSplit w:val="0"/>
          <w:trHeight w:val="34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S.589, Senator Eldridge</w:t>
            </w:r>
          </w:p>
        </w:tc>
      </w:tr>
      <w:tr>
        <w:trPr>
          <w:cantSplit w:val="0"/>
          <w:trHeight w:val="6677.968750000001"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H897/S529; reported favorably by ENRA accompanied by S529; referred to HWM where no further action was taken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H805; reported favorably by ENR accompanied S480; referred to SWM where no further action was taken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SUMMARY</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amends Chapter 94 of the General Laws </w:t>
            </w:r>
            <w:r w:rsidDel="00000000" w:rsidR="00000000" w:rsidRPr="00000000">
              <w:rPr>
                <w:rFonts w:ascii="Times New Roman" w:cs="Times New Roman" w:eastAsia="Times New Roman" w:hAnsi="Times New Roman"/>
                <w:sz w:val="24"/>
                <w:szCs w:val="24"/>
                <w:highlight w:val="white"/>
                <w:rtl w:val="0"/>
              </w:rPr>
              <w:t xml:space="preserve">by adding a new Section 330. This section prohibits covered entities from labeling any covered product that is not a flushable wipe as safe to flush. Entities are also prohibited from representing products, unless the product is a flushable wipe, as safe to flush. The bill requires non-flushable wipes to be labeled clearly with the text "Do Not Flush", in adherence with other specific labeling standards outlined in the bill. As defined by the bill, covered entities include manufacturers of a covered product sold in the Commonwealth or brought into the Commonwealth for sale.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Covered products manufactured on or after July 1 2027 must comply with the labeling requirements outlined in the bill. DEP is authorized to enforce this new section and to collect civil penalties for violations of this section, up to $2,500 per day for each violation. Repeated sale of the same noncompliant product package is considered part of the same, single violation. The bill also outlines specific considerations for the court regarding violations.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bill establishes the Massachusetts Consumer Education and Outreach Program, which will begin in 2027 and conclude on December 31, 2037.</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part of this program, covered entities are required to participate in a collection, consumer awareness, and consumer opinion study conducted in collaboration with state and local wastewater agencies for the purpose of gaining understanding of consumer behavior regarding the flushing of covered products, which will be factored into the design of a consumer education and outreach program. The DEP, the MWRA, and several local and regional wastewater systems will coordinate this study annually over a 10 year period until December 31, 2037.</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Covered entities are also required to conduct a comprehensive and accessible multimedia education and outreach program in the Commonwealth to promote consumer awareness and compliance with label notice requirements.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provisions of this bill shall take effect January 1, 2027.</w:t>
            </w: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