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Joint Committee on Environment and Natural Resources</w:t>
      </w:r>
    </w:p>
    <w:p w:rsidR="00000000" w:rsidDel="00000000" w:rsidP="00000000" w:rsidRDefault="00000000" w:rsidRPr="00000000" w14:paraId="00000002">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Bill Summary</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6765"/>
        <w:tblGridChange w:id="0">
          <w:tblGrid>
            <w:gridCol w:w="2580"/>
            <w:gridCol w:w="676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3">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964</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5">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promoting responsible end-of-life management for electric and hybrid vehicle batteries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8">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Haggerty </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B">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Senate, No. 2283, by Senator Finegold (bill referred to TUE)</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C">
            <w:pPr>
              <w:spacing w:after="240" w:before="240" w:line="276"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w:t>
            </w:r>
            <w:r w:rsidDel="00000000" w:rsidR="00000000" w:rsidRPr="00000000">
              <w:rPr>
                <w:rtl w:val="0"/>
              </w:rPr>
            </w:r>
          </w:p>
        </w:tc>
      </w:tr>
      <w:tr>
        <w:trPr>
          <w:cantSplit w:val="0"/>
          <w:trHeight w:val="2738"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0F">
            <w:pPr>
              <w:spacing w:after="240" w:before="240" w:line="276"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tl w:val="0"/>
              </w:rPr>
            </w:r>
          </w:p>
          <w:p w:rsidR="00000000" w:rsidDel="00000000" w:rsidP="00000000" w:rsidRDefault="00000000" w:rsidRPr="00000000" w14:paraId="0000001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amends </w:t>
            </w:r>
            <w:r w:rsidDel="00000000" w:rsidR="00000000" w:rsidRPr="00000000">
              <w:rPr>
                <w:rFonts w:ascii="Times New Roman" w:cs="Times New Roman" w:eastAsia="Times New Roman" w:hAnsi="Times New Roman"/>
                <w:sz w:val="24"/>
                <w:szCs w:val="24"/>
                <w:rtl w:val="0"/>
              </w:rPr>
              <w:t xml:space="preserve">Chapter 21A</w:t>
            </w:r>
            <w:r w:rsidDel="00000000" w:rsidR="00000000" w:rsidRPr="00000000">
              <w:rPr>
                <w:rFonts w:ascii="Times New Roman" w:cs="Times New Roman" w:eastAsia="Times New Roman" w:hAnsi="Times New Roman"/>
                <w:sz w:val="24"/>
                <w:szCs w:val="24"/>
                <w:rtl w:val="0"/>
              </w:rPr>
              <w:t xml:space="preserve"> (the purpose and function of EOEA) of the general laws by adding Section 29, which establishes new rules for managing vehicle traction batteries (used to power electric and hybrid vehicles) at the end of their life.</w:t>
            </w:r>
          </w:p>
          <w:p w:rsidR="00000000" w:rsidDel="00000000" w:rsidP="00000000" w:rsidRDefault="00000000" w:rsidRPr="00000000" w14:paraId="00000011">
            <w:pPr>
              <w:pStyle w:val="Heading3"/>
              <w:keepNext w:val="0"/>
              <w:keepLines w:val="0"/>
              <w:spacing w:before="280" w:line="276" w:lineRule="auto"/>
              <w:rPr>
                <w:rFonts w:ascii="Times New Roman" w:cs="Times New Roman" w:eastAsia="Times New Roman" w:hAnsi="Times New Roman"/>
                <w:color w:val="000000"/>
                <w:sz w:val="24"/>
                <w:szCs w:val="24"/>
              </w:rPr>
            </w:pPr>
            <w:bookmarkStart w:colFirst="0" w:colLast="0" w:name="_w704qoxpgsqb" w:id="0"/>
            <w:bookmarkEnd w:id="0"/>
            <w:r w:rsidDel="00000000" w:rsidR="00000000" w:rsidRPr="00000000">
              <w:rPr>
                <w:rFonts w:ascii="Times New Roman" w:cs="Times New Roman" w:eastAsia="Times New Roman" w:hAnsi="Times New Roman"/>
                <w:color w:val="000000"/>
                <w:sz w:val="24"/>
                <w:szCs w:val="24"/>
                <w:rtl w:val="0"/>
              </w:rPr>
              <w:t xml:space="preserve">(a) Definitions</w:t>
            </w:r>
          </w:p>
          <w:p w:rsidR="00000000" w:rsidDel="00000000" w:rsidP="00000000" w:rsidRDefault="00000000" w:rsidRPr="00000000" w14:paraId="00000012">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terms used in the bill, including: Battery, Vehicle Traction Battery, Battery Provider, Secondary Handler/User, Specialized Battery Recycler, Battery Management Hierarchy</w:t>
            </w:r>
          </w:p>
          <w:p w:rsidR="00000000" w:rsidDel="00000000" w:rsidP="00000000" w:rsidRDefault="00000000" w:rsidRPr="00000000" w14:paraId="00000013">
            <w:pPr>
              <w:numPr>
                <w:ilvl w:val="0"/>
                <w:numId w:val="1"/>
              </w:numPr>
              <w:spacing w:after="240" w:before="24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Key terms include reuse, remanufacture, repurpose, and “end-of-life”.</w:t>
            </w:r>
            <w:r w:rsidDel="00000000" w:rsidR="00000000" w:rsidRPr="00000000">
              <w:rPr>
                <w:rtl w:val="0"/>
              </w:rPr>
            </w:r>
          </w:p>
          <w:p w:rsidR="00000000" w:rsidDel="00000000" w:rsidP="00000000" w:rsidRDefault="00000000" w:rsidRPr="00000000" w14:paraId="00000014">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Under this section, landfilling of traction batteries is prohibited.</w:t>
            </w:r>
          </w:p>
          <w:p w:rsidR="00000000" w:rsidDel="00000000" w:rsidP="00000000" w:rsidRDefault="00000000" w:rsidRPr="00000000" w14:paraId="00000015">
            <w:pPr>
              <w:pStyle w:val="Heading3"/>
              <w:keepNext w:val="0"/>
              <w:keepLines w:val="0"/>
              <w:spacing w:before="280" w:line="276" w:lineRule="auto"/>
              <w:rPr>
                <w:rFonts w:ascii="Times New Roman" w:cs="Times New Roman" w:eastAsia="Times New Roman" w:hAnsi="Times New Roman"/>
                <w:color w:val="000000"/>
                <w:sz w:val="24"/>
                <w:szCs w:val="24"/>
              </w:rPr>
            </w:pPr>
            <w:bookmarkStart w:colFirst="0" w:colLast="0" w:name="_7nh8o9tj8ud" w:id="1"/>
            <w:bookmarkEnd w:id="1"/>
            <w:r w:rsidDel="00000000" w:rsidR="00000000" w:rsidRPr="00000000">
              <w:rPr>
                <w:rFonts w:ascii="Times New Roman" w:cs="Times New Roman" w:eastAsia="Times New Roman" w:hAnsi="Times New Roman"/>
                <w:color w:val="000000"/>
                <w:sz w:val="24"/>
                <w:szCs w:val="24"/>
                <w:rtl w:val="0"/>
              </w:rPr>
              <w:t xml:space="preserve">(b) Responsibilities of Battery Providers</w:t>
            </w:r>
          </w:p>
          <w:p w:rsidR="00000000" w:rsidDel="00000000" w:rsidP="00000000" w:rsidRDefault="00000000" w:rsidRPr="00000000" w14:paraId="00000016">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Battery providers must:</w:t>
            </w:r>
          </w:p>
          <w:p w:rsidR="00000000" w:rsidDel="00000000" w:rsidP="00000000" w:rsidRDefault="00000000" w:rsidRPr="00000000" w14:paraId="00000017">
            <w:pPr>
              <w:numPr>
                <w:ilvl w:val="0"/>
                <w:numId w:val="3"/>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 end-of-life batteries when:</w:t>
            </w:r>
          </w:p>
          <w:p w:rsidR="00000000" w:rsidDel="00000000" w:rsidP="00000000" w:rsidRDefault="00000000" w:rsidRPr="00000000" w14:paraId="00000018">
            <w:pPr>
              <w:numPr>
                <w:ilvl w:val="1"/>
                <w:numId w:val="3"/>
              </w:numPr>
              <w:spacing w:after="0" w:afterAutospacing="0" w:before="0" w:beforeAutospacing="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Removed under warranty.</w:t>
            </w:r>
          </w:p>
          <w:p w:rsidR="00000000" w:rsidDel="00000000" w:rsidP="00000000" w:rsidRDefault="00000000" w:rsidRPr="00000000" w14:paraId="00000019">
            <w:pPr>
              <w:numPr>
                <w:ilvl w:val="1"/>
                <w:numId w:val="3"/>
              </w:numPr>
              <w:spacing w:after="0" w:afterAutospacing="0" w:before="0" w:beforeAutospacing="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Returned or offered back.</w:t>
            </w:r>
          </w:p>
          <w:p w:rsidR="00000000" w:rsidDel="00000000" w:rsidP="00000000" w:rsidRDefault="00000000" w:rsidRPr="00000000" w14:paraId="0000001A">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 the battery management hierarchy.</w:t>
            </w:r>
          </w:p>
          <w:p w:rsidR="00000000" w:rsidDel="00000000" w:rsidP="00000000" w:rsidRDefault="00000000" w:rsidRPr="00000000" w14:paraId="0000001B">
            <w:pPr>
              <w:numPr>
                <w:ilvl w:val="0"/>
                <w:numId w:val="3"/>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with specialized recyclers to ensure proper handling and recycling.</w:t>
            </w:r>
          </w:p>
          <w:p w:rsidR="00000000" w:rsidDel="00000000" w:rsidP="00000000" w:rsidRDefault="00000000" w:rsidRPr="00000000" w14:paraId="0000001C">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Providers are not liable for batteries that are remanufactured or repurposed by others unless they did the work themselves or contractually accepted liability.</w:t>
            </w:r>
          </w:p>
          <w:p w:rsidR="00000000" w:rsidDel="00000000" w:rsidP="00000000" w:rsidRDefault="00000000" w:rsidRPr="00000000" w14:paraId="0000001D">
            <w:pPr>
              <w:pStyle w:val="Heading3"/>
              <w:keepNext w:val="0"/>
              <w:keepLines w:val="0"/>
              <w:spacing w:before="280" w:line="276" w:lineRule="auto"/>
              <w:rPr>
                <w:rFonts w:ascii="Times New Roman" w:cs="Times New Roman" w:eastAsia="Times New Roman" w:hAnsi="Times New Roman"/>
                <w:color w:val="000000"/>
                <w:sz w:val="24"/>
                <w:szCs w:val="24"/>
              </w:rPr>
            </w:pPr>
            <w:bookmarkStart w:colFirst="0" w:colLast="0" w:name="_zfzshnc63skp" w:id="2"/>
            <w:bookmarkEnd w:id="2"/>
            <w:r w:rsidDel="00000000" w:rsidR="00000000" w:rsidRPr="00000000">
              <w:rPr>
                <w:rFonts w:ascii="Times New Roman" w:cs="Times New Roman" w:eastAsia="Times New Roman" w:hAnsi="Times New Roman"/>
                <w:color w:val="000000"/>
                <w:sz w:val="24"/>
                <w:szCs w:val="24"/>
                <w:rtl w:val="0"/>
              </w:rPr>
              <w:t xml:space="preserve">(c) Responsibilities of Secondary Handlers and Users</w:t>
            </w:r>
          </w:p>
          <w:p w:rsidR="00000000" w:rsidDel="00000000" w:rsidP="00000000" w:rsidRDefault="00000000" w:rsidRPr="00000000" w14:paraId="0000001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entities must follow the battery management hierarchy upon taking possession of batteries and coordinate with specialized recyclers for compliant end-of-life processing</w:t>
            </w:r>
          </w:p>
          <w:p w:rsidR="00000000" w:rsidDel="00000000" w:rsidP="00000000" w:rsidRDefault="00000000" w:rsidRPr="00000000" w14:paraId="0000001F">
            <w:pPr>
              <w:spacing w:after="240" w:before="240"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 Documenting and Reporting</w:t>
            </w:r>
          </w:p>
          <w:p w:rsidR="00000000" w:rsidDel="00000000" w:rsidP="00000000" w:rsidRDefault="00000000" w:rsidRPr="00000000" w14:paraId="00000020">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reporting to the Department of Environmental Protection (DEP) is required from battery providers, secondary handlers, and secondary users. Reports must include:</w:t>
            </w:r>
          </w:p>
          <w:p w:rsidR="00000000" w:rsidDel="00000000" w:rsidP="00000000" w:rsidRDefault="00000000" w:rsidRPr="00000000" w14:paraId="00000021">
            <w:pPr>
              <w:numPr>
                <w:ilvl w:val="0"/>
                <w:numId w:val="2"/>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end-of-life batteries managed.</w:t>
            </w:r>
          </w:p>
          <w:p w:rsidR="00000000" w:rsidDel="00000000" w:rsidP="00000000" w:rsidRDefault="00000000" w:rsidRPr="00000000" w14:paraId="00000022">
            <w:pPr>
              <w:numPr>
                <w:ilvl w:val="0"/>
                <w:numId w:val="2"/>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sent to recyclers.</w:t>
              <w:br w:type="textWrapping"/>
              <w:t xml:space="preserve">Recovery rates of key materials (lithium, cobalt, etc.).</w:t>
            </w:r>
          </w:p>
          <w:p w:rsidR="00000000" w:rsidDel="00000000" w:rsidP="00000000" w:rsidRDefault="00000000" w:rsidRPr="00000000" w14:paraId="00000023">
            <w:pPr>
              <w:spacing w:after="24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specialized recycler may submit a report on behalf of others if they include all required data.</w:t>
            </w:r>
          </w:p>
          <w:p w:rsidR="00000000" w:rsidDel="00000000" w:rsidP="00000000" w:rsidRDefault="00000000" w:rsidRPr="00000000" w14:paraId="00000024">
            <w:pPr>
              <w:pStyle w:val="Heading3"/>
              <w:keepNext w:val="0"/>
              <w:keepLines w:val="0"/>
              <w:spacing w:before="280" w:line="276" w:lineRule="auto"/>
              <w:rPr>
                <w:rFonts w:ascii="Times New Roman" w:cs="Times New Roman" w:eastAsia="Times New Roman" w:hAnsi="Times New Roman"/>
                <w:color w:val="000000"/>
                <w:sz w:val="24"/>
                <w:szCs w:val="24"/>
              </w:rPr>
            </w:pPr>
            <w:bookmarkStart w:colFirst="0" w:colLast="0" w:name="_ltxm1qumpzgv" w:id="3"/>
            <w:bookmarkEnd w:id="3"/>
            <w:r w:rsidDel="00000000" w:rsidR="00000000" w:rsidRPr="00000000">
              <w:rPr>
                <w:rFonts w:ascii="Times New Roman" w:cs="Times New Roman" w:eastAsia="Times New Roman" w:hAnsi="Times New Roman"/>
                <w:color w:val="000000"/>
                <w:sz w:val="24"/>
                <w:szCs w:val="24"/>
                <w:rtl w:val="0"/>
              </w:rPr>
              <w:t xml:space="preserve">(e) Responsibilities of the Department</w:t>
            </w:r>
          </w:p>
          <w:p w:rsidR="00000000" w:rsidDel="00000000" w:rsidP="00000000" w:rsidRDefault="00000000" w:rsidRPr="00000000" w14:paraId="00000025">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 must:</w:t>
            </w:r>
          </w:p>
          <w:p w:rsidR="00000000" w:rsidDel="00000000" w:rsidP="00000000" w:rsidRDefault="00000000" w:rsidRPr="00000000" w14:paraId="00000026">
            <w:pPr>
              <w:numPr>
                <w:ilvl w:val="0"/>
                <w:numId w:val="4"/>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state law aligns with or exceeds federal standards.</w:t>
            </w:r>
          </w:p>
          <w:p w:rsidR="00000000" w:rsidDel="00000000" w:rsidP="00000000" w:rsidRDefault="00000000" w:rsidRPr="00000000" w14:paraId="00000027">
            <w:pPr>
              <w:numPr>
                <w:ilvl w:val="0"/>
                <w:numId w:val="4"/>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Enforce and monitor compliance under this act, using its existing authority.</w:t>
              <w:br w:type="textWrapping"/>
            </w:r>
            <w:r w:rsidDel="00000000" w:rsidR="00000000" w:rsidRPr="00000000">
              <w:rPr>
                <w:rtl w:val="0"/>
              </w:rPr>
            </w:r>
          </w:p>
          <w:p w:rsidR="00000000" w:rsidDel="00000000" w:rsidP="00000000" w:rsidRDefault="00000000" w:rsidRPr="00000000" w14:paraId="0000002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