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Joint Committee on Environment and Natural Resources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Bill Summary</w:t>
      </w:r>
      <w:r w:rsidDel="00000000" w:rsidR="00000000" w:rsidRPr="00000000">
        <w:rPr>
          <w:rFonts w:ascii="Times New Roman" w:cs="Times New Roman" w:eastAsia="Times New Roman" w:hAnsi="Times New Roman"/>
          <w:b w:val="1"/>
          <w:sz w:val="24"/>
          <w:szCs w:val="24"/>
          <w:rtl w:val="0"/>
        </w:rPr>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w:t>
      </w:r>
    </w:p>
    <w:tbl>
      <w:tblPr>
        <w:tblStyle w:val="Table1"/>
        <w:tblW w:w="9345.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45"/>
        <w:gridCol w:w="6900"/>
        <w:tblGridChange w:id="0">
          <w:tblGrid>
            <w:gridCol w:w="2445"/>
            <w:gridCol w:w="6900"/>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03">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House, No. 968</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05">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Act establishing a lithium-ion battery stewardship program</w:t>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08">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SPONSORS</w:t>
            </w:r>
            <w:r w:rsidDel="00000000" w:rsidR="00000000" w:rsidRPr="00000000">
              <w:rPr>
                <w:rFonts w:ascii="Times New Roman" w:cs="Times New Roman" w:eastAsia="Times New Roman" w:hAnsi="Times New Roman"/>
                <w:sz w:val="24"/>
                <w:szCs w:val="24"/>
                <w:rtl w:val="0"/>
              </w:rPr>
              <w:t xml:space="preserve">                    Representative Hogan </w:t>
            </w:r>
            <w:r w:rsidDel="00000000" w:rsidR="00000000" w:rsidRPr="00000000">
              <w:rPr>
                <w:rtl w:val="0"/>
              </w:rPr>
            </w:r>
          </w:p>
        </w:tc>
      </w:tr>
      <w:tr>
        <w:trPr>
          <w:cantSplit w:val="0"/>
          <w:trHeight w:val="105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0A">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SIMILAR MATTERS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0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Senate, No. 556, Senator Creem </w:t>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0C">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PRIOR HISTORY</w:t>
            </w:r>
          </w:p>
          <w:p w:rsidR="00000000" w:rsidDel="00000000" w:rsidP="00000000" w:rsidRDefault="00000000" w:rsidRPr="00000000" w14:paraId="0000000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File</w:t>
            </w:r>
          </w:p>
        </w:tc>
      </w:tr>
      <w:tr>
        <w:trPr>
          <w:cantSplit w:val="0"/>
          <w:trHeight w:val="2738"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0F">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SUMMARY</w:t>
            </w:r>
          </w:p>
          <w:p w:rsidR="00000000" w:rsidDel="00000000" w:rsidP="00000000" w:rsidRDefault="00000000" w:rsidRPr="00000000" w14:paraId="0000001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Creates new section </w:t>
            </w:r>
            <w:r w:rsidDel="00000000" w:rsidR="00000000" w:rsidRPr="00000000">
              <w:rPr>
                <w:rFonts w:ascii="Times New Roman" w:cs="Times New Roman" w:eastAsia="Times New Roman" w:hAnsi="Times New Roman"/>
                <w:sz w:val="24"/>
                <w:szCs w:val="24"/>
                <w:rtl w:val="0"/>
              </w:rPr>
              <w:t xml:space="preserve">Chapter 21P</w:t>
            </w:r>
          </w:p>
          <w:p w:rsidR="00000000" w:rsidDel="00000000" w:rsidP="00000000" w:rsidRDefault="00000000" w:rsidRPr="00000000" w14:paraId="00000011">
            <w:pPr>
              <w:numPr>
                <w:ilvl w:val="0"/>
                <w:numId w:val="1"/>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Section 1: Definitions</w:t>
              <w:br w:type="textWrapping"/>
            </w:r>
            <w:r w:rsidDel="00000000" w:rsidR="00000000" w:rsidRPr="00000000">
              <w:rPr>
                <w:rFonts w:ascii="Times New Roman" w:cs="Times New Roman" w:eastAsia="Times New Roman" w:hAnsi="Times New Roman"/>
                <w:sz w:val="24"/>
                <w:szCs w:val="24"/>
                <w:rtl w:val="0"/>
              </w:rPr>
              <w:t xml:space="preserve">This section outlines the terminology used throughout the legislation, including key definitions for types of batteries (e.g., portable, medium-format), battery-containing products, producers, stewardship organizations, and relevant performance and recycling terms. It clarifies which products are covered and how responsibilities are assigned.</w:t>
            </w:r>
          </w:p>
          <w:p w:rsidR="00000000" w:rsidDel="00000000" w:rsidP="00000000" w:rsidRDefault="00000000" w:rsidRPr="00000000" w14:paraId="00000012">
            <w:pPr>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numPr>
                <w:ilvl w:val="0"/>
                <w:numId w:val="1"/>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Section 2: Producer Requirements</w:t>
              <w:br w:type="textWrapping"/>
            </w:r>
            <w:r w:rsidDel="00000000" w:rsidR="00000000" w:rsidRPr="00000000">
              <w:rPr>
                <w:rFonts w:ascii="Times New Roman" w:cs="Times New Roman" w:eastAsia="Times New Roman" w:hAnsi="Times New Roman"/>
                <w:sz w:val="24"/>
                <w:szCs w:val="24"/>
                <w:rtl w:val="0"/>
              </w:rPr>
              <w:t xml:space="preserve">Starting in 2028, producers must participate in a battery stewardship program to legally sell batteries in Massachusetts. Sales are prohibited unless the producer is enrolled in an approved stewardship plan.</w:t>
            </w:r>
          </w:p>
          <w:p w:rsidR="00000000" w:rsidDel="00000000" w:rsidP="00000000" w:rsidRDefault="00000000" w:rsidRPr="00000000" w14:paraId="00000014">
            <w:pPr>
              <w:spacing w:after="0" w:before="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numPr>
                <w:ilvl w:val="0"/>
                <w:numId w:val="1"/>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Section 3: The Role of Retailers</w:t>
              <w:br w:type="textWrapping"/>
            </w:r>
            <w:r w:rsidDel="00000000" w:rsidR="00000000" w:rsidRPr="00000000">
              <w:rPr>
                <w:rFonts w:ascii="Times New Roman" w:cs="Times New Roman" w:eastAsia="Times New Roman" w:hAnsi="Times New Roman"/>
                <w:sz w:val="24"/>
                <w:szCs w:val="24"/>
                <w:rtl w:val="0"/>
              </w:rPr>
              <w:t xml:space="preserve">After the proposal of Section 2, retailers may only sell products from compliant producers. They are not required to collect batteries but must follow guidelines if they do. Retailers must display educational materials and ensure battery products are properly labeled, without charging consumers point-of-sale fees for program costs.</w:t>
            </w:r>
          </w:p>
          <w:p w:rsidR="00000000" w:rsidDel="00000000" w:rsidP="00000000" w:rsidRDefault="00000000" w:rsidRPr="00000000" w14:paraId="00000016">
            <w:pPr>
              <w:spacing w:after="0" w:before="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numPr>
                <w:ilvl w:val="0"/>
                <w:numId w:val="1"/>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Section 4: Stewardship Plan Requirements</w:t>
              <w:br w:type="textWrapping"/>
            </w:r>
            <w:r w:rsidDel="00000000" w:rsidR="00000000" w:rsidRPr="00000000">
              <w:rPr>
                <w:rFonts w:ascii="Times New Roman" w:cs="Times New Roman" w:eastAsia="Times New Roman" w:hAnsi="Times New Roman"/>
                <w:sz w:val="24"/>
                <w:szCs w:val="24"/>
                <w:rtl w:val="0"/>
              </w:rPr>
              <w:t xml:space="preserve">Battery stewardship organizations must submit detailed operational plans by the end of 2027. These plans must include producer lists, performance goals, education strategies, and financial structures, and must be updated every five years. Changes in program participants must be reported promptly.</w:t>
            </w:r>
          </w:p>
          <w:p w:rsidR="00000000" w:rsidDel="00000000" w:rsidP="00000000" w:rsidRDefault="00000000" w:rsidRPr="00000000" w14:paraId="00000018">
            <w:pPr>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numPr>
                <w:ilvl w:val="0"/>
                <w:numId w:val="1"/>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Section 5: Performance Goals</w:t>
              <w:br w:type="textWrapping"/>
            </w:r>
            <w:r w:rsidDel="00000000" w:rsidR="00000000" w:rsidRPr="00000000">
              <w:rPr>
                <w:rFonts w:ascii="Times New Roman" w:cs="Times New Roman" w:eastAsia="Times New Roman" w:hAnsi="Times New Roman"/>
                <w:sz w:val="24"/>
                <w:szCs w:val="24"/>
                <w:rtl w:val="0"/>
              </w:rPr>
              <w:t xml:space="preserve">Programs must track collection and recycling rates and public awareness, targeting at least 60% recycling efficiency for rechargeable batteries and 70% for primary batteries. Accessibility goals must also be met.</w:t>
            </w:r>
          </w:p>
          <w:p w:rsidR="00000000" w:rsidDel="00000000" w:rsidP="00000000" w:rsidRDefault="00000000" w:rsidRPr="00000000" w14:paraId="0000001A">
            <w:pPr>
              <w:spacing w:after="0" w:before="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numPr>
                <w:ilvl w:val="0"/>
                <w:numId w:val="1"/>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Section 6: Program Funding</w:t>
              <w:br w:type="textWrapping"/>
            </w:r>
            <w:r w:rsidDel="00000000" w:rsidR="00000000" w:rsidRPr="00000000">
              <w:rPr>
                <w:rFonts w:ascii="Times New Roman" w:cs="Times New Roman" w:eastAsia="Times New Roman" w:hAnsi="Times New Roman"/>
                <w:sz w:val="24"/>
                <w:szCs w:val="24"/>
                <w:rtl w:val="0"/>
              </w:rPr>
              <w:t xml:space="preserve">Producers will fund all aspects of the stewardship program, including collection, education, and reimbursements to local governments. Programs must continue even if performance goals aren’t met.</w:t>
            </w:r>
          </w:p>
          <w:p w:rsidR="00000000" w:rsidDel="00000000" w:rsidP="00000000" w:rsidRDefault="00000000" w:rsidRPr="00000000" w14:paraId="0000001C">
            <w:pPr>
              <w:spacing w:after="0" w:before="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numPr>
                <w:ilvl w:val="0"/>
                <w:numId w:val="1"/>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Section 7: Collection and Management</w:t>
              <w:br w:type="textWrapping"/>
            </w:r>
            <w:r w:rsidDel="00000000" w:rsidR="00000000" w:rsidRPr="00000000">
              <w:rPr>
                <w:rFonts w:ascii="Times New Roman" w:cs="Times New Roman" w:eastAsia="Times New Roman" w:hAnsi="Times New Roman"/>
                <w:sz w:val="24"/>
                <w:szCs w:val="24"/>
                <w:rtl w:val="0"/>
              </w:rPr>
              <w:t xml:space="preserve">Programs must collect all covered battery types for free and maintain broad, statewide access. Special procedures are required for medium-format and damaged batteries. Existing infrastructure should be used where practical, and batteries embedded in products are only collected if easily removable.</w:t>
            </w:r>
          </w:p>
          <w:p w:rsidR="00000000" w:rsidDel="00000000" w:rsidP="00000000" w:rsidRDefault="00000000" w:rsidRPr="00000000" w14:paraId="0000001E">
            <w:pPr>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numPr>
                <w:ilvl w:val="0"/>
                <w:numId w:val="1"/>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Section 8: Education and Outreach</w:t>
              <w:br w:type="textWrapping"/>
            </w:r>
            <w:r w:rsidDel="00000000" w:rsidR="00000000" w:rsidRPr="00000000">
              <w:rPr>
                <w:rFonts w:ascii="Times New Roman" w:cs="Times New Roman" w:eastAsia="Times New Roman" w:hAnsi="Times New Roman"/>
                <w:sz w:val="24"/>
                <w:szCs w:val="24"/>
                <w:rtl w:val="0"/>
              </w:rPr>
              <w:t xml:space="preserve">Programs must run public education campaigns, offer training for collection sites, and provide multilingual, accessible information. Coordination among multiple programs is required, and surveys on public awareness must be conducted periodically.</w:t>
            </w:r>
          </w:p>
          <w:p w:rsidR="00000000" w:rsidDel="00000000" w:rsidP="00000000" w:rsidRDefault="00000000" w:rsidRPr="00000000" w14:paraId="00000020">
            <w:pPr>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numPr>
                <w:ilvl w:val="0"/>
                <w:numId w:val="1"/>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Section 9: Reporting Requirements</w:t>
              <w:br w:type="textWrapping"/>
            </w:r>
            <w:r w:rsidDel="00000000" w:rsidR="00000000" w:rsidRPr="00000000">
              <w:rPr>
                <w:rFonts w:ascii="Times New Roman" w:cs="Times New Roman" w:eastAsia="Times New Roman" w:hAnsi="Times New Roman"/>
                <w:sz w:val="24"/>
                <w:szCs w:val="24"/>
                <w:rtl w:val="0"/>
              </w:rPr>
              <w:t xml:space="preserve">Annual reports are due each June and must include financial data, battery recovery metrics, site listings, and outreach summaries. Only one program can count each battery's weight. Disposal through incineration or landfill must be disclosed and addressed.</w:t>
            </w:r>
          </w:p>
          <w:p w:rsidR="00000000" w:rsidDel="00000000" w:rsidP="00000000" w:rsidRDefault="00000000" w:rsidRPr="00000000" w14:paraId="00000022">
            <w:pPr>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numPr>
                <w:ilvl w:val="0"/>
                <w:numId w:val="1"/>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Section 10: Fees and Oversight</w:t>
              <w:br w:type="textWrapping"/>
            </w:r>
            <w:r w:rsidDel="00000000" w:rsidR="00000000" w:rsidRPr="00000000">
              <w:rPr>
                <w:rFonts w:ascii="Times New Roman" w:cs="Times New Roman" w:eastAsia="Times New Roman" w:hAnsi="Times New Roman"/>
                <w:sz w:val="24"/>
                <w:szCs w:val="24"/>
                <w:rtl w:val="0"/>
              </w:rPr>
              <w:t xml:space="preserve">Programs must pay an initial fee and ongoing annual fees to fund state oversight. The Department of Environmental Protection is responsible for reviewing plans, ensuring transparency, and assisting producers and retailers.</w:t>
            </w:r>
          </w:p>
          <w:p w:rsidR="00000000" w:rsidDel="00000000" w:rsidP="00000000" w:rsidRDefault="00000000" w:rsidRPr="00000000" w14:paraId="00000024">
            <w:pPr>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numPr>
                <w:ilvl w:val="0"/>
                <w:numId w:val="1"/>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Section 11: Penalties and Enforcement</w:t>
              <w:br w:type="textWrapping"/>
            </w:r>
            <w:r w:rsidDel="00000000" w:rsidR="00000000" w:rsidRPr="00000000">
              <w:rPr>
                <w:rFonts w:ascii="Times New Roman" w:cs="Times New Roman" w:eastAsia="Times New Roman" w:hAnsi="Times New Roman"/>
                <w:sz w:val="24"/>
                <w:szCs w:val="24"/>
                <w:rtl w:val="0"/>
              </w:rPr>
              <w:t xml:space="preserve">Civil penalties apply for violations, with harsher penalties for nonpayment or fraud. The Attorney General may enforce compliance. Individual consumers are not penalized for improper residential disposal.</w:t>
            </w:r>
          </w:p>
          <w:p w:rsidR="00000000" w:rsidDel="00000000" w:rsidP="00000000" w:rsidRDefault="00000000" w:rsidRPr="00000000" w14:paraId="00000026">
            <w:pPr>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numPr>
                <w:ilvl w:val="0"/>
                <w:numId w:val="1"/>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Section 12: Labeling Requirements</w:t>
              <w:br w:type="textWrapping"/>
            </w:r>
            <w:r w:rsidDel="00000000" w:rsidR="00000000" w:rsidRPr="00000000">
              <w:rPr>
                <w:rFonts w:ascii="Times New Roman" w:cs="Times New Roman" w:eastAsia="Times New Roman" w:hAnsi="Times New Roman"/>
                <w:sz w:val="24"/>
                <w:szCs w:val="24"/>
                <w:rtl w:val="0"/>
              </w:rPr>
              <w:t xml:space="preserve">By 2028, batteries must display the producer’s identity, and by 2029, they must also show chemistry and disposal instructions. The state may adopt further labeling rules.</w:t>
            </w:r>
          </w:p>
          <w:p w:rsidR="00000000" w:rsidDel="00000000" w:rsidP="00000000" w:rsidRDefault="00000000" w:rsidRPr="00000000" w14:paraId="00000028">
            <w:pPr>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numPr>
                <w:ilvl w:val="0"/>
                <w:numId w:val="1"/>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Section 13: Disposal and Collection Rules</w:t>
              <w:br w:type="textWrapping"/>
            </w:r>
            <w:r w:rsidDel="00000000" w:rsidR="00000000" w:rsidRPr="00000000">
              <w:rPr>
                <w:rFonts w:ascii="Times New Roman" w:cs="Times New Roman" w:eastAsia="Times New Roman" w:hAnsi="Times New Roman"/>
                <w:sz w:val="24"/>
                <w:szCs w:val="24"/>
                <w:rtl w:val="0"/>
              </w:rPr>
              <w:t xml:space="preserve">From 2028, covered batteries must be properly managed through approved systems. The law bans landfill disposal, incineration, and improper mixing with trash or recycling. Facilities and haulers are shielded from penalties if they act in good faith.</w:t>
            </w:r>
          </w:p>
          <w:p w:rsidR="00000000" w:rsidDel="00000000" w:rsidP="00000000" w:rsidRDefault="00000000" w:rsidRPr="00000000" w14:paraId="0000002A">
            <w:pPr>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numPr>
                <w:ilvl w:val="0"/>
                <w:numId w:val="1"/>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Section 14: Battery Product Assessment</w:t>
              <w:br w:type="textWrapping"/>
            </w:r>
            <w:r w:rsidDel="00000000" w:rsidR="00000000" w:rsidRPr="00000000">
              <w:rPr>
                <w:rFonts w:ascii="Times New Roman" w:cs="Times New Roman" w:eastAsia="Times New Roman" w:hAnsi="Times New Roman"/>
                <w:sz w:val="24"/>
                <w:szCs w:val="24"/>
                <w:rtl w:val="0"/>
              </w:rPr>
              <w:t xml:space="preserve">Programs must assess challenges related to batteries embedded in products like EVs and medical devices by the end of 2028, using national data where possible. The report is due to the legislature in 2031.</w:t>
            </w:r>
          </w:p>
          <w:p w:rsidR="00000000" w:rsidDel="00000000" w:rsidP="00000000" w:rsidRDefault="00000000" w:rsidRPr="00000000" w14:paraId="0000002C">
            <w:pPr>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numPr>
                <w:ilvl w:val="0"/>
                <w:numId w:val="1"/>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Section 15: Antitrust Protection</w:t>
              <w:br w:type="textWrapping"/>
            </w:r>
            <w:r w:rsidDel="00000000" w:rsidR="00000000" w:rsidRPr="00000000">
              <w:rPr>
                <w:rFonts w:ascii="Times New Roman" w:cs="Times New Roman" w:eastAsia="Times New Roman" w:hAnsi="Times New Roman"/>
                <w:sz w:val="24"/>
                <w:szCs w:val="24"/>
                <w:rtl w:val="0"/>
              </w:rPr>
              <w:t xml:space="preserve">Producers and stewardship organizations are shielded from antitrust liability when working together to design and operate stewardship programs.</w:t>
            </w:r>
          </w:p>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fxxaJoj0RamwrSxIzN0eYHbljg==">CgMxLjA4AGooChRzdWdnZXN0LnNnamUyd2NiOTNnYhIQQ2hyaXN0aW5lIEJhcmJlcmooChRzdWdnZXN0LjNlajk5ZGIxajczdRIQQ2hyaXN0aW5lIEJhcmJlcnIhMUIycEwwcnVINWpJWkl5d2ZLTmZFblpCMjg4RGRaX2hU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2025-04-16T14:41:00Z</dcterms:created>
  <dc:creator>Newman, Jacob (HOU)</dc:creator>
</cp:coreProperties>
</file>