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996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26n5dg9ish0n" w:id="0"/>
            <w:bookmarkEnd w:id="0"/>
            <w:r w:rsidDel="00000000" w:rsidR="00000000" w:rsidRPr="00000000">
              <w:rPr>
                <w:rFonts w:ascii="Times New Roman" w:cs="Times New Roman" w:eastAsia="Times New Roman" w:hAnsi="Times New Roman"/>
                <w:sz w:val="24"/>
                <w:szCs w:val="24"/>
                <w:rtl w:val="0"/>
              </w:rPr>
              <w:t xml:space="preserve">An Act relative to helium balloons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Luddy</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H843; sent to study by ENRA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H982; favorably redrafted as H4786 by ENRA; referred to HWM where no further action was taken</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H875; reported favorably by ENR; referred to HWM where no further action was taken</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introduces a statewide ban on the intentional release of balloons into the atmosphere. It defines “intentional release” as knowingly letting one or more balloons of any type float into the air.</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Under the new law, organizing or participating in intentional balloon releases—including those involving plastic, latex, or Mylar balloons filled with lighter-than-air gases—is prohibited. Violators face a civil penalty of at least $100, with an additional $100 for every 10 balloons released. Repeat offenders are subject to higher penalties, starting at $500 per violation. Each event is treated as a separate offense. DEP is responsible for implementing and enforcing the law.</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highlight w:val="white"/>
              </w:rPr>
            </w:pPr>
            <w:commentRangeStart w:id="0"/>
            <w:commentRangeStart w:id="1"/>
            <w:r w:rsidDel="00000000" w:rsidR="00000000" w:rsidRPr="00000000">
              <w:rPr>
                <w:rFonts w:ascii="Times New Roman" w:cs="Times New Roman" w:eastAsia="Times New Roman" w:hAnsi="Times New Roman"/>
                <w:sz w:val="24"/>
                <w:szCs w:val="24"/>
                <w:highlight w:val="white"/>
                <w:rtl w:val="0"/>
              </w:rPr>
              <w:t xml:space="preserve">There are a few exemptions to the ban, including balloon releases for scientific or meteorological purposes by government agencies, recoverable hot air balloons, and releases by children under 12 years old.</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bill also proposes a mandate that DEP provide educational materials to balloon retailers. These materials must include notice of the law and information about the environmental harm caused by balloon releases, and must be available in English and any other language spoken by at least 10% of the Massachusetts population.</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Retailers selling balloons must post notices about the law in visible areas in stores and on their websites, and must inform customers about the environmental impact of balloon releases at the point of sale, including during online transactions. Retailers are permitted to offer balloon weights and fasteners. The act will take effect 90 days after its passage.</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tine Barber" w:id="0" w:date="2025-05-05T16:50:44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kind of funny - we are not prosecuting children for this.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Aditi Vaidya reacted with 😂 at 2025-05-05 10:12 AM</w:t>
      </w:r>
    </w:p>
  </w:comment>
  <w:comment w:author="Jacob Newman" w:id="1" w:date="2025-05-05T16:59:23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one escapes the law!</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