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1001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w:t>
            </w:r>
            <w:r w:rsidDel="00000000" w:rsidR="00000000" w:rsidRPr="00000000">
              <w:rPr>
                <w:rFonts w:ascii="Times New Roman" w:cs="Times New Roman" w:eastAsia="Times New Roman" w:hAnsi="Times New Roman"/>
                <w:sz w:val="24"/>
                <w:szCs w:val="24"/>
                <w:rtl w:val="0"/>
              </w:rPr>
              <w:t xml:space="preserve">[to] </w:t>
            </w:r>
            <w:r w:rsidDel="00000000" w:rsidR="00000000" w:rsidRPr="00000000">
              <w:rPr>
                <w:rFonts w:ascii="Times New Roman" w:cs="Times New Roman" w:eastAsia="Times New Roman" w:hAnsi="Times New Roman"/>
                <w:sz w:val="24"/>
                <w:szCs w:val="24"/>
                <w:rtl w:val="0"/>
              </w:rPr>
              <w:t xml:space="preserve">create a crumbling foundations task force with the goal of identifying a source and method of funding</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Marsi</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mandates the formation of a task force to study and recommend the creation of a fund to assist homeowners dealing with crumbling foundations. The group will assess factors such as the cost of commonly used building materials, affected geographic areas, average testing and inspection costs, similar programs in other states, and the overall cost to administer such a fund. The task force, chaired by the Secretary of Economic Development, will include representatives from key state agencies, legislative leaders, and industry stakeholders. It is required to submit a report with recommendations and any proposed legislation by July 31, 2027.</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