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3.8823529411766"/>
        <w:gridCol w:w="6896.117647058823"/>
        <w:tblGridChange w:id="0">
          <w:tblGrid>
            <w:gridCol w:w="2463.8823529411766"/>
            <w:gridCol w:w="6896.117647058823"/>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1002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relative to the Douglas State Forest Maintenance Trust Fund</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McKenna of Webster; Senator Fattman</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S592, Senator Fattman</w:t>
            </w:r>
          </w:p>
        </w:tc>
      </w:tr>
      <w:tr>
        <w:trPr>
          <w:cantSplit w:val="0"/>
          <w:trHeight w:val="26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2019 - 2020: Filed as S465; Bill reported favorably by ENRA; referred to the committee on Senate Ways and Means where no further action was taken.</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2021 - 2022: Filed as S532; Bill reported favorably by ENRA; referred to the committee on Senate Ways and Means where no further action was taken.</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2023 - 2024: Filed as H859; Bill reported favorably by ENR accompanying S483; referred to the committee on Senate Ways and Means where no further action was taken.</w:t>
            </w:r>
          </w:p>
        </w:tc>
      </w:tr>
      <w:tr>
        <w:trPr>
          <w:cantSplit w:val="0"/>
          <w:trHeight w:val="213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amends Section 35BBB of Chapter 10 of MA General Law as appearing in the 2018 edition to strike the figure “$1” and insert in its place, “$5”.  Effectively, this change would increase the DCR surcharge of $1 to $5 for admission to the Douglas State Forest Maintenance Trust Fund to be used for the long-term preservation, maintenance, nourishment and public safety in the town of Douglas.  Expenditures by the fund for public safety may be made available to the police, fire, ambulance and emergency personnel of the town of Douglas.</w:t>
            </w:r>
          </w:p>
        </w:tc>
      </w:tr>
    </w:tbl>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