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1006</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incentives for nature as a climate solution</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Meschino</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establishes a task force to investigate and recommend policies for incentivizing carbon removal and sequestration through natural and working lands as outlined in Massachusetts General Laws, section 3A(a) of chapter 21N. The task force will be chaired by the undersecretary of the environment and include members from various agencies, such as climate innovation, conservation, and fish and game, as well as experts in related fields like forest ecology, carbon sequestration, and environmental economics. The task force's goal is to develop policy recommendations, including potential legislation, regulatory frameworks, and plans related to clean energy and climate. Its final report, including recommendations, must be submitted to various legislative bodies by December 31, 2026.</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3">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