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6675"/>
        <w:tblGridChange w:id="0">
          <w:tblGrid>
            <w:gridCol w:w="2685"/>
            <w:gridCol w:w="667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1009</w:t>
            </w:r>
          </w:p>
        </w:tc>
      </w:tr>
      <w:tr>
        <w:trPr>
          <w:cantSplit w:val="0"/>
          <w:trHeight w:val="949.746093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overcome coastal and environmental acidification and nutrient pollution</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09">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Moakley</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H.897, Rep. Badger (Duplicate file of H.1009); S.566, Sen. Cyr;   S. 599, Sen. Fernandes</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H3835; favorably redrafted as H4596 by ENRA; referred to HWM where no further action was taken</w:t>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H793 (filed by Rep. Fernandes &amp; Rep. Muratore); favorably reported by ENR and referred to HWM; no further action taken</w:t>
            </w:r>
          </w:p>
          <w:p w:rsidR="00000000" w:rsidDel="00000000" w:rsidP="00000000" w:rsidRDefault="00000000" w:rsidRPr="00000000" w14:paraId="00000011">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Chapter 6 of MGL and adds a new section, </w:t>
            </w:r>
            <w:r w:rsidDel="00000000" w:rsidR="00000000" w:rsidRPr="00000000">
              <w:rPr>
                <w:rFonts w:ascii="Times New Roman" w:cs="Times New Roman" w:eastAsia="Times New Roman" w:hAnsi="Times New Roman"/>
                <w:sz w:val="24"/>
                <w:szCs w:val="24"/>
                <w:rtl w:val="0"/>
              </w:rPr>
              <w:t xml:space="preserve">15MMMMMM</w:t>
            </w:r>
            <w:r w:rsidDel="00000000" w:rsidR="00000000" w:rsidRPr="00000000">
              <w:rPr>
                <w:rFonts w:ascii="Times New Roman" w:cs="Times New Roman" w:eastAsia="Times New Roman" w:hAnsi="Times New Roman"/>
                <w:sz w:val="24"/>
                <w:szCs w:val="24"/>
                <w:rtl w:val="0"/>
              </w:rPr>
              <w:t xml:space="preserve">, which directs the governor to issue an annual proclamation designating the third week of August as Ocean Acidification Awareness Week.</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21N of MGL is amended by adding a new section, Section 12, which establishes an Ocean Acidification Council. The Secretary of Energy and Environmental Affairs will create the council and chair it. The council will be tasked with further understanding and undertaking efforts to mitigate threats posed by ocean and coastal acidification through the coordination of data collection and recommendation of mitigative interventions for coastal stressors and adaptive technologies for the aquaculture industry.</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a year of formation, the council will perform and publish a gap analysis for ocean monitoring and recommend appropriate measures for modeling ocean acidification and projecting acidification trends. The council will convene two public hearings and a workshop with local ocean monitoring groups to identify needs and inform the analysis. The council may also commission independent studies and agency reports to fill remaining knowledge gaps pertaining to the effects of acidification on marine species and clarifying the causal relationship between nutrient pollution, eutrophication, and acidification.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will coordinate implementation of this recommended monitoring system within three years of this bill's passage. Any data derived from this monitoring system will be made publicly accessible.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bill establishes the Ocean Acidification Fund (subject to appropriation), which will be administered by the Ocean Acidification Council to restore and buffer marine habitats and resources impacted by acidification. The fund will also be used to finance infrastructure improvements to reduce eutrophication.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10 of Chapter 21N of MGL to include observed and projected climate trends pertaining to ocean and coastal acidification in the statewide climate adaptation strategy published every five years by the Department of Energy and Environmental Affairs and Public Safety and Security Secretaries.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Section 61 of Chapter 30 of MGL is further amended to include coastal ocean acidification as a reasonably foreseeable climate change impact to be considered by agencies, departments, boards, commissions or authorities prior to the issuance of permits, licenses, and other administrative approvals and decisions.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