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1010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the use of shotguns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Muradian</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H.1075, Rep. Zlotnik (Identical language)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2015-2016: Filed as H728, Accompanied S432, Reported favorably by ENRA, Referred to HWM, where no further action was taken. </w:t>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Refiled as H453, Accompanied S446, Reported favorably by ENRA, Referred to SWM where no further action was taken. </w:t>
            </w:r>
          </w:p>
          <w:p w:rsidR="00000000" w:rsidDel="00000000" w:rsidP="00000000" w:rsidRDefault="00000000" w:rsidRPr="00000000" w14:paraId="0000000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Refiled as H835, Accompanied S2501, Reported favorably by ENRA, Referred to SWM where no further action was taken</w:t>
            </w:r>
          </w:p>
          <w:p w:rsidR="00000000" w:rsidDel="00000000" w:rsidP="00000000" w:rsidRDefault="00000000" w:rsidRPr="00000000" w14:paraId="0000001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Refiled as H976; ENRA sent to study </w:t>
            </w:r>
          </w:p>
          <w:p w:rsidR="00000000" w:rsidDel="00000000" w:rsidP="00000000" w:rsidRDefault="00000000" w:rsidRPr="00000000" w14:paraId="0000001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H865; Accompanied a study order (H.4668)</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3">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4">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66 (Shotgun shells, load) of Chapter 131 (Inland Fisheries and Game and Other Natural Resources) of MGL, by striking the section in its entirety and replacing it with new language. This new language states that the Director of the Division of Fisheries and Wildlife, under the control of the Fisheries and Wildlife Board, can set regulations for the use and possession of shotgun ammunition types for the purpose of hunting. </w:t>
            </w:r>
          </w:p>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9">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