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405.0" w:type="dxa"/>
        <w:jc w:val="left"/>
        <w:tblInd w:w="-4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05"/>
        <w:gridCol w:w="6900"/>
        <w:tblGridChange w:id="0">
          <w:tblGrid>
            <w:gridCol w:w="2505"/>
            <w:gridCol w:w="6900"/>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House, No. 1010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relative to the use of shotguns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Muradian</w:t>
            </w:r>
            <w:r w:rsidDel="00000000" w:rsidR="00000000" w:rsidRPr="00000000">
              <w:rPr>
                <w:rtl w:val="0"/>
              </w:rPr>
            </w:r>
          </w:p>
        </w:tc>
      </w:tr>
      <w:tr>
        <w:trPr>
          <w:cantSplit w:val="0"/>
          <w:trHeight w:val="105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H.1075, Rep. Zlotnik (Identical language)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D">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2015-2016: Filed as H728, Accompanied S432, Reported favorably by ENRA, Referred to HWM, where no further action was taken. </w:t>
            </w:r>
          </w:p>
          <w:p w:rsidR="00000000" w:rsidDel="00000000" w:rsidP="00000000" w:rsidRDefault="00000000" w:rsidRPr="00000000" w14:paraId="0000000E">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2017-2018: Refiled as H453, Accompanied S446, Reported favorably by ENRA, Referred to SWM where no further action was taken. </w:t>
            </w:r>
          </w:p>
          <w:p w:rsidR="00000000" w:rsidDel="00000000" w:rsidP="00000000" w:rsidRDefault="00000000" w:rsidRPr="00000000" w14:paraId="0000000F">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2019-2020: Refiled as H835, Accompanied S2501, Reported favorably by ENRA, Referred to SWM where no further action was taken</w:t>
            </w:r>
          </w:p>
          <w:p w:rsidR="00000000" w:rsidDel="00000000" w:rsidP="00000000" w:rsidRDefault="00000000" w:rsidRPr="00000000" w14:paraId="00000010">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Refiled as H976; ENRA sent to study </w:t>
            </w:r>
          </w:p>
          <w:p w:rsidR="00000000" w:rsidDel="00000000" w:rsidP="00000000" w:rsidRDefault="00000000" w:rsidRPr="00000000" w14:paraId="00000011">
            <w:pPr>
              <w:spacing w:after="0" w:before="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H865; Accompanied a study order (H.4668)</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3">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4">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Section 66 (Shotgun shells, load) of Chapter 131 (Inland Fisheries and Game and Other Natural Resources) of MGL, by striking the section in its entirety and replacing it with new language. This new language states that the Director of the Division of Fisheries and Wildlife, under the control of the Fisheries and Wildlife Board, can set regulations for the use and possession of shotgun ammunition types for the purpose of hunting. </w:t>
            </w:r>
          </w:p>
          <w:p w:rsidR="00000000" w:rsidDel="00000000" w:rsidP="00000000" w:rsidRDefault="00000000" w:rsidRPr="00000000" w14:paraId="00000017">
            <w:pPr>
              <w:spacing w:after="240" w:befor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9">
      <w:pPr>
        <w:spacing w:after="240" w:before="240" w:lineRule="auto"/>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