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1011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critical wildlife habitat management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Muradian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H977; Accompanied a study order (H.5041)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H866; Accompanied a study order (H.4668)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Section 2A (Wildland Acquisition Account) of Chapter 131 (Inland Fisheries and Game and Other Natural Resources) of MGL to require that $2.50 from the sale of wildlands conservation stamps will be used for habitat management on lands managed by the Division of Fisheries and Wildlife.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also amends Section 13A (Wildlands Conservation Stamps) of Chapter 131 (Inland Fisheries and Game and Other Natural Resources) by increasing the fee for wildlands conservation stamps from $5.00 to $7.50.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