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b w:val="1"/>
          <w:sz w:val="28"/>
          <w:szCs w:val="28"/>
          <w:rtl w:val="0"/>
        </w:rPr>
        <w:t xml:space="preserve">Bill Summary</w:t>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u w:val="single"/>
              </w:rPr>
            </w:pPr>
            <w:r w:rsidDel="00000000" w:rsidR="00000000" w:rsidRPr="00000000">
              <w:rPr>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House, No. 1013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b w:val="1"/>
                <w:u w:val="single"/>
              </w:rPr>
            </w:pPr>
            <w:r w:rsidDel="00000000" w:rsidR="00000000" w:rsidRPr="00000000">
              <w:rPr>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pPr>
            <w:r w:rsidDel="00000000" w:rsidR="00000000" w:rsidRPr="00000000">
              <w:rPr>
                <w:rtl w:val="0"/>
              </w:rPr>
              <w:t xml:space="preserve">An Act establishing the municipal reforestation program</w:t>
            </w:r>
          </w:p>
        </w:tc>
      </w:tr>
      <w:tr>
        <w:trPr>
          <w:cantSplit w:val="0"/>
          <w:trHeight w:val="24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b w:val="1"/>
                <w:u w:val="single"/>
              </w:rPr>
            </w:pPr>
            <w:r w:rsidDel="00000000" w:rsidR="00000000" w:rsidRPr="00000000">
              <w:rPr>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Representatives Owens of Watertown, Meschino of Hull, Armini of Marblehead, Arena-DeRosa of Holliston, Domb of Amherst, Decker of Cambridge, Linsky of Natick, Tarr of Gloucester, Montaño of Boston, Sabadosa of Northampton, Kassner of Hamilton and Uyterhoeven of Somerville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b w:val="1"/>
                <w:u w:val="single"/>
              </w:rPr>
            </w:pPr>
            <w:r w:rsidDel="00000000" w:rsidR="00000000" w:rsidRPr="00000000">
              <w:rPr>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S553</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240" w:before="240" w:lineRule="auto"/>
              <w:rPr/>
            </w:pPr>
            <w:r w:rsidDel="00000000" w:rsidR="00000000" w:rsidRPr="00000000">
              <w:rPr>
                <w:rtl w:val="0"/>
              </w:rPr>
              <w:t xml:space="preserve">2021-2022: Filed as H905/S504; reported favorably by ENRA; referred to SWM where no further action was taken</w:t>
            </w:r>
          </w:p>
          <w:p w:rsidR="00000000" w:rsidDel="00000000" w:rsidP="00000000" w:rsidRDefault="00000000" w:rsidRPr="00000000" w14:paraId="0000000D">
            <w:pPr>
              <w:spacing w:after="240" w:before="240" w:lineRule="auto"/>
              <w:rPr/>
            </w:pPr>
            <w:r w:rsidDel="00000000" w:rsidR="00000000" w:rsidRPr="00000000">
              <w:rPr>
                <w:rtl w:val="0"/>
              </w:rPr>
              <w:t xml:space="preserve">2023-2024: Filed as H869/S452; reported favorably by ENR; referred to HWM where no further action was taken</w:t>
            </w:r>
          </w:p>
        </w:tc>
      </w:tr>
      <w:tr>
        <w:trPr>
          <w:cantSplit w:val="0"/>
          <w:trHeight w:val="3942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b w:val="1"/>
                <w:u w:val="single"/>
              </w:rPr>
            </w:pPr>
            <w:r w:rsidDel="00000000" w:rsidR="00000000" w:rsidRPr="00000000">
              <w:rPr>
                <w:b w:val="1"/>
                <w:u w:val="single"/>
                <w:rtl w:val="0"/>
              </w:rPr>
              <w:t xml:space="preserve">SUMMARY</w:t>
            </w:r>
          </w:p>
          <w:p w:rsidR="00000000" w:rsidDel="00000000" w:rsidP="00000000" w:rsidRDefault="00000000" w:rsidRPr="00000000" w14:paraId="00000010">
            <w:pPr>
              <w:spacing w:after="240" w:before="240" w:lineRule="auto"/>
              <w:rPr/>
            </w:pPr>
            <w:r w:rsidDel="00000000" w:rsidR="00000000" w:rsidRPr="00000000">
              <w:rPr>
                <w:rtl w:val="0"/>
              </w:rPr>
              <w:t xml:space="preserve">This legislation amends Chapter 21 of the General Laws by adding a new Section 28. This section establishes an Urban Forestry Advisory Council under the Executive Office of Energy and Environmental Affairs (EEA). Members are to be appointed by the Secretary from public, private and nongovernmental organizations with expertise in urban forestry arboriculture, landscape architecture, green infrastructure, demand side energy efficiency management, and climate change resilience and mitigation. Representatives from agricultural high schools, federally-recognized and state acknowledged tribes within MA, and the UMass Center for Agriculture, Food, and the Environment, are also to be included on the advisory council. The bill makes suggestions as to what the organization's members may represent. </w:t>
            </w:r>
          </w:p>
          <w:p w:rsidR="00000000" w:rsidDel="00000000" w:rsidP="00000000" w:rsidRDefault="00000000" w:rsidRPr="00000000" w14:paraId="00000011">
            <w:pPr>
              <w:spacing w:after="240" w:before="240" w:lineRule="auto"/>
              <w:rPr/>
            </w:pPr>
            <w:r w:rsidDel="00000000" w:rsidR="00000000" w:rsidRPr="00000000">
              <w:rPr>
                <w:rtl w:val="0"/>
              </w:rPr>
              <w:t xml:space="preserve">The secretary shall convene the council to provide advice and technical assistance to municipalities, tree-planting organizations, municipal arborists, state foresters, gas and electric companies, and the department of transportation to ensure sufficient technical expertise and oversight in the implementation of the municipal reforestation program. The council shall develop and provide model tree-retention ordinances and by-laws, to be made available to the public on the EEA Secretariat's website.</w:t>
            </w:r>
          </w:p>
          <w:p w:rsidR="00000000" w:rsidDel="00000000" w:rsidP="00000000" w:rsidRDefault="00000000" w:rsidRPr="00000000" w14:paraId="00000012">
            <w:pPr>
              <w:spacing w:after="240" w:before="240" w:lineRule="auto"/>
              <w:rPr/>
            </w:pPr>
            <w:r w:rsidDel="00000000" w:rsidR="00000000" w:rsidRPr="00000000">
              <w:rPr>
                <w:rtl w:val="0"/>
              </w:rPr>
              <w:t xml:space="preserve">The council is to use science-based guidelines for urban forestry and to develop guidelines for the secretary for approving municipal plans, and is to advise on the merits of and improvements to the plans. </w:t>
            </w:r>
          </w:p>
          <w:p w:rsidR="00000000" w:rsidDel="00000000" w:rsidP="00000000" w:rsidRDefault="00000000" w:rsidRPr="00000000" w14:paraId="00000013">
            <w:pPr>
              <w:spacing w:after="240" w:before="240" w:lineRule="auto"/>
              <w:rPr/>
            </w:pPr>
            <w:r w:rsidDel="00000000" w:rsidR="00000000" w:rsidRPr="00000000">
              <w:rPr>
                <w:rtl w:val="0"/>
              </w:rPr>
              <w:t xml:space="preserve">The EEA Secretary and the urban forest advisory council, in consultation with DEP, shall develop quantitative and qualitative measures for valuing the contribution that an urban tree canopy cover makes to mitigate the effects of climate change. </w:t>
            </w:r>
          </w:p>
          <w:p w:rsidR="00000000" w:rsidDel="00000000" w:rsidP="00000000" w:rsidRDefault="00000000" w:rsidRPr="00000000" w14:paraId="00000014">
            <w:pPr>
              <w:spacing w:after="240" w:before="240" w:lineRule="auto"/>
              <w:rPr/>
            </w:pPr>
            <w:r w:rsidDel="00000000" w:rsidR="00000000" w:rsidRPr="00000000">
              <w:rPr>
                <w:rtl w:val="0"/>
              </w:rPr>
              <w:t xml:space="preserve">The bill amends the General Laws to insert a new Chapter 21P establishing the municipal forestry program. This chapter requires the Secretary of EEA, in consultation with the Secretary of the Department of Transportation (DOT) establish a municipal reforestation program to allow municipalities access to funding and technical assistance to plant and replace trees as well as maintain healthy trees within their communities.</w:t>
            </w:r>
          </w:p>
          <w:p w:rsidR="00000000" w:rsidDel="00000000" w:rsidP="00000000" w:rsidRDefault="00000000" w:rsidRPr="00000000" w14:paraId="00000015">
            <w:pPr>
              <w:spacing w:after="240" w:before="240" w:lineRule="auto"/>
              <w:rPr/>
            </w:pPr>
            <w:r w:rsidDel="00000000" w:rsidR="00000000" w:rsidRPr="00000000">
              <w:rPr>
                <w:rtl w:val="0"/>
              </w:rPr>
              <w:t xml:space="preserve">The purpose and goals of the program include, but are not limited to: </w:t>
            </w:r>
          </w:p>
          <w:p w:rsidR="00000000" w:rsidDel="00000000" w:rsidP="00000000" w:rsidRDefault="00000000" w:rsidRPr="00000000" w14:paraId="00000016">
            <w:pPr>
              <w:spacing w:after="240" w:before="240" w:lineRule="auto"/>
              <w:rPr/>
            </w:pPr>
            <w:r w:rsidDel="00000000" w:rsidR="00000000" w:rsidRPr="00000000">
              <w:rPr>
                <w:rtl w:val="0"/>
              </w:rPr>
              <w:t xml:space="preserve">(i) removing carbon dioxide emissions from the transportation sector within the municipalities of the commonwealth through carbon sequestration provided by trees;</w:t>
            </w:r>
          </w:p>
          <w:p w:rsidR="00000000" w:rsidDel="00000000" w:rsidP="00000000" w:rsidRDefault="00000000" w:rsidRPr="00000000" w14:paraId="00000017">
            <w:pPr>
              <w:spacing w:after="240" w:before="240" w:lineRule="auto"/>
              <w:rPr/>
            </w:pPr>
            <w:r w:rsidDel="00000000" w:rsidR="00000000" w:rsidRPr="00000000">
              <w:rPr>
                <w:rtl w:val="0"/>
              </w:rPr>
              <w:t xml:space="preserve">(ii) improving public health by mitigating harmful effects of excessive heat and cold; </w:t>
            </w:r>
          </w:p>
          <w:p w:rsidR="00000000" w:rsidDel="00000000" w:rsidP="00000000" w:rsidRDefault="00000000" w:rsidRPr="00000000" w14:paraId="00000018">
            <w:pPr>
              <w:spacing w:after="240" w:before="240" w:lineRule="auto"/>
              <w:rPr/>
            </w:pPr>
            <w:r w:rsidDel="00000000" w:rsidR="00000000" w:rsidRPr="00000000">
              <w:rPr>
                <w:rtl w:val="0"/>
              </w:rPr>
              <w:t xml:space="preserve">(iii) improving air quality by reducing levels of particulate pollution in neighborhoods with low urban tree canopy cover; </w:t>
            </w:r>
          </w:p>
          <w:p w:rsidR="00000000" w:rsidDel="00000000" w:rsidP="00000000" w:rsidRDefault="00000000" w:rsidRPr="00000000" w14:paraId="00000019">
            <w:pPr>
              <w:spacing w:after="240" w:before="240" w:lineRule="auto"/>
              <w:rPr/>
            </w:pPr>
            <w:r w:rsidDel="00000000" w:rsidR="00000000" w:rsidRPr="00000000">
              <w:rPr>
                <w:rtl w:val="0"/>
              </w:rPr>
              <w:t xml:space="preserve">(iv strengthening climate resilience by strategically incorporating trees into urban green infrastructure projects; </w:t>
            </w:r>
          </w:p>
          <w:p w:rsidR="00000000" w:rsidDel="00000000" w:rsidP="00000000" w:rsidRDefault="00000000" w:rsidRPr="00000000" w14:paraId="0000001A">
            <w:pPr>
              <w:spacing w:after="240" w:before="240" w:lineRule="auto"/>
              <w:rPr/>
            </w:pPr>
            <w:r w:rsidDel="00000000" w:rsidR="00000000" w:rsidRPr="00000000">
              <w:rPr>
                <w:rtl w:val="0"/>
              </w:rPr>
              <w:t xml:space="preserve">(v) promoting community, economic, and workforce development by incorporating green infrastructure into municipal transportation infrastructure and community planning; </w:t>
            </w:r>
          </w:p>
          <w:p w:rsidR="00000000" w:rsidDel="00000000" w:rsidP="00000000" w:rsidRDefault="00000000" w:rsidRPr="00000000" w14:paraId="0000001B">
            <w:pPr>
              <w:spacing w:after="240" w:before="240" w:lineRule="auto"/>
              <w:rPr/>
            </w:pPr>
            <w:r w:rsidDel="00000000" w:rsidR="00000000" w:rsidRPr="00000000">
              <w:rPr>
                <w:rtl w:val="0"/>
              </w:rPr>
              <w:t xml:space="preserve">(vi) recognizing trees as a key state-wide investment in transportation infrastructure and workforce development in order to meet the mandates pursuant to chapter 21N; </w:t>
            </w:r>
          </w:p>
          <w:p w:rsidR="00000000" w:rsidDel="00000000" w:rsidP="00000000" w:rsidRDefault="00000000" w:rsidRPr="00000000" w14:paraId="0000001C">
            <w:pPr>
              <w:spacing w:after="240" w:before="240" w:lineRule="auto"/>
              <w:rPr/>
            </w:pPr>
            <w:r w:rsidDel="00000000" w:rsidR="00000000" w:rsidRPr="00000000">
              <w:rPr>
                <w:rtl w:val="0"/>
              </w:rPr>
              <w:t xml:space="preserve">(vii) prioritizing the inclusion of green, sustainable infrastructure in the development of transportation infrastructure; </w:t>
            </w:r>
          </w:p>
          <w:p w:rsidR="00000000" w:rsidDel="00000000" w:rsidP="00000000" w:rsidRDefault="00000000" w:rsidRPr="00000000" w14:paraId="0000001D">
            <w:pPr>
              <w:spacing w:after="240" w:before="240" w:lineRule="auto"/>
              <w:rPr/>
            </w:pPr>
            <w:r w:rsidDel="00000000" w:rsidR="00000000" w:rsidRPr="00000000">
              <w:rPr>
                <w:rtl w:val="0"/>
              </w:rPr>
              <w:t xml:space="preserve">(viii) prioritizing the expansion of the urban tree canopy cover in environmental justice neighborhoods, including expanding parks and open spaces; </w:t>
            </w:r>
          </w:p>
          <w:p w:rsidR="00000000" w:rsidDel="00000000" w:rsidP="00000000" w:rsidRDefault="00000000" w:rsidRPr="00000000" w14:paraId="0000001E">
            <w:pPr>
              <w:spacing w:after="240" w:before="240" w:lineRule="auto"/>
              <w:rPr/>
            </w:pPr>
            <w:r w:rsidDel="00000000" w:rsidR="00000000" w:rsidRPr="00000000">
              <w:rPr>
                <w:rtl w:val="0"/>
              </w:rPr>
              <w:t xml:space="preserve">(ix) providing equitable access to funding for rural and urban neighborhoods for opportunities to develop green infrastructure; </w:t>
            </w:r>
          </w:p>
          <w:p w:rsidR="00000000" w:rsidDel="00000000" w:rsidP="00000000" w:rsidRDefault="00000000" w:rsidRPr="00000000" w14:paraId="0000001F">
            <w:pPr>
              <w:spacing w:after="240" w:before="240" w:lineRule="auto"/>
              <w:rPr/>
            </w:pPr>
            <w:r w:rsidDel="00000000" w:rsidR="00000000" w:rsidRPr="00000000">
              <w:rPr>
                <w:rtl w:val="0"/>
              </w:rPr>
              <w:t xml:space="preserve">(x) maintaining the health of newly planted and existing trees in the urban environment by providing funding for maintenance and for inspection for pests and diseases; </w:t>
            </w:r>
          </w:p>
          <w:p w:rsidR="00000000" w:rsidDel="00000000" w:rsidP="00000000" w:rsidRDefault="00000000" w:rsidRPr="00000000" w14:paraId="00000020">
            <w:pPr>
              <w:spacing w:after="240" w:before="240" w:lineRule="auto"/>
              <w:rPr/>
            </w:pPr>
            <w:r w:rsidDel="00000000" w:rsidR="00000000" w:rsidRPr="00000000">
              <w:rPr>
                <w:rtl w:val="0"/>
              </w:rPr>
              <w:t xml:space="preserve">(xi) prioritizing the expansion of the urban tree canopy cover in municipalities to achieve a tree canopy cover of at least 60 percent.</w:t>
            </w:r>
          </w:p>
          <w:p w:rsidR="00000000" w:rsidDel="00000000" w:rsidP="00000000" w:rsidRDefault="00000000" w:rsidRPr="00000000" w14:paraId="00000021">
            <w:pPr>
              <w:spacing w:after="240" w:before="240" w:lineRule="auto"/>
              <w:rPr/>
            </w:pPr>
            <w:r w:rsidDel="00000000" w:rsidR="00000000" w:rsidRPr="00000000">
              <w:rPr>
                <w:rtl w:val="0"/>
              </w:rPr>
              <w:t xml:space="preserve">The Secretaries of EEA, DOT and Administration and Finance (A&amp;F) are tasked with establishing a formula for the disbursement of funding. Formula variables are to include, but are not limited to: </w:t>
            </w:r>
          </w:p>
          <w:p w:rsidR="00000000" w:rsidDel="00000000" w:rsidP="00000000" w:rsidRDefault="00000000" w:rsidRPr="00000000" w14:paraId="00000022">
            <w:pPr>
              <w:spacing w:after="240" w:before="240" w:lineRule="auto"/>
              <w:rPr/>
            </w:pPr>
            <w:r w:rsidDel="00000000" w:rsidR="00000000" w:rsidRPr="00000000">
              <w:rPr>
                <w:rtl w:val="0"/>
              </w:rPr>
              <w:t xml:space="preserve">(i) the total number of road mileage within the municipality; </w:t>
            </w:r>
          </w:p>
          <w:p w:rsidR="00000000" w:rsidDel="00000000" w:rsidP="00000000" w:rsidRDefault="00000000" w:rsidRPr="00000000" w14:paraId="00000023">
            <w:pPr>
              <w:spacing w:after="240" w:before="240" w:lineRule="auto"/>
              <w:rPr/>
            </w:pPr>
            <w:r w:rsidDel="00000000" w:rsidR="00000000" w:rsidRPr="00000000">
              <w:rPr>
                <w:rtl w:val="0"/>
              </w:rPr>
              <w:t xml:space="preserve">(ii) the total population of the municipality; </w:t>
            </w:r>
          </w:p>
          <w:p w:rsidR="00000000" w:rsidDel="00000000" w:rsidP="00000000" w:rsidRDefault="00000000" w:rsidRPr="00000000" w14:paraId="00000024">
            <w:pPr>
              <w:spacing w:after="240" w:before="240" w:lineRule="auto"/>
              <w:rPr/>
            </w:pPr>
            <w:r w:rsidDel="00000000" w:rsidR="00000000" w:rsidRPr="00000000">
              <w:rPr>
                <w:rtl w:val="0"/>
              </w:rPr>
              <w:t xml:space="preserve">(iii) the total number of employed individuals within the borders of the municipality; </w:t>
            </w:r>
          </w:p>
          <w:p w:rsidR="00000000" w:rsidDel="00000000" w:rsidP="00000000" w:rsidRDefault="00000000" w:rsidRPr="00000000" w14:paraId="00000025">
            <w:pPr>
              <w:spacing w:after="240" w:before="240" w:lineRule="auto"/>
              <w:rPr/>
            </w:pPr>
            <w:r w:rsidDel="00000000" w:rsidR="00000000" w:rsidRPr="00000000">
              <w:rPr>
                <w:rtl w:val="0"/>
              </w:rPr>
              <w:t xml:space="preserve">(iv) the number of environmental justice criteria the municipality meets, as determined by the executive office of energy and environmental affairs’ environmental justice policy;</w:t>
            </w:r>
          </w:p>
          <w:p w:rsidR="00000000" w:rsidDel="00000000" w:rsidP="00000000" w:rsidRDefault="00000000" w:rsidRPr="00000000" w14:paraId="00000026">
            <w:pPr>
              <w:spacing w:after="240" w:before="240" w:lineRule="auto"/>
              <w:rPr/>
            </w:pPr>
            <w:r w:rsidDel="00000000" w:rsidR="00000000" w:rsidRPr="00000000">
              <w:rPr>
                <w:rtl w:val="0"/>
              </w:rPr>
              <w:t xml:space="preserve">(v) the percentage of urban tree canopy cover with a greater weighted calculation provided for neighborhoods within a municipality having a tree canopy cover of 20 percent or less</w:t>
            </w:r>
          </w:p>
          <w:p w:rsidR="00000000" w:rsidDel="00000000" w:rsidP="00000000" w:rsidRDefault="00000000" w:rsidRPr="00000000" w14:paraId="00000027">
            <w:pPr>
              <w:spacing w:after="240" w:before="240" w:lineRule="auto"/>
              <w:rPr/>
            </w:pPr>
            <w:r w:rsidDel="00000000" w:rsidR="00000000" w:rsidRPr="00000000">
              <w:rPr>
                <w:rtl w:val="0"/>
              </w:rPr>
              <w:t xml:space="preserve">Funds are to be distributed to municipalities annually by August 1 and shall take effect 3 years after the bill's passage. Each municipality shall report annually to the secretary on the status of the plan and the projects that were completed within the fiscal year and the plans for the following year. Municipalities must develop a municipal reforestation plan within 3 years following enactment of this of act, appropriate to the size and needs of the municipality. In developing a plan, such municipality shall follow the guidelines developed by the urban forest advisory council. Municipalities may seek technical advice from the departments, and the secretary must make available other resources as needed by a municipality to facilitate the development of its plan at no additional cost to the municipality.</w:t>
            </w:r>
          </w:p>
          <w:p w:rsidR="00000000" w:rsidDel="00000000" w:rsidP="00000000" w:rsidRDefault="00000000" w:rsidRPr="00000000" w14:paraId="00000028">
            <w:pPr>
              <w:spacing w:after="240" w:before="240" w:lineRule="auto"/>
              <w:rPr/>
            </w:pPr>
            <w:r w:rsidDel="00000000" w:rsidR="00000000" w:rsidRPr="00000000">
              <w:rPr>
                <w:rtl w:val="0"/>
              </w:rPr>
              <w:t xml:space="preserve">Municipal plans must include: </w:t>
            </w:r>
          </w:p>
          <w:p w:rsidR="00000000" w:rsidDel="00000000" w:rsidP="00000000" w:rsidRDefault="00000000" w:rsidRPr="00000000" w14:paraId="00000029">
            <w:pPr>
              <w:spacing w:after="240" w:before="240" w:lineRule="auto"/>
              <w:rPr/>
            </w:pPr>
            <w:r w:rsidDel="00000000" w:rsidR="00000000" w:rsidRPr="00000000">
              <w:rPr>
                <w:rtl w:val="0"/>
              </w:rPr>
              <w:t xml:space="preserve">(i) an inventory of the municipality’s existing tree canopy cover, using established scientific protocols for determining tree canopy cover, such as geographical information systems; </w:t>
            </w:r>
          </w:p>
          <w:p w:rsidR="00000000" w:rsidDel="00000000" w:rsidP="00000000" w:rsidRDefault="00000000" w:rsidRPr="00000000" w14:paraId="0000002A">
            <w:pPr>
              <w:spacing w:after="240" w:before="240" w:lineRule="auto"/>
              <w:rPr/>
            </w:pPr>
            <w:r w:rsidDel="00000000" w:rsidR="00000000" w:rsidRPr="00000000">
              <w:rPr>
                <w:rtl w:val="0"/>
              </w:rPr>
              <w:t xml:space="preserve">(ii) an analysis to determine the optimal sites for planting trees to achieve the goals the program, using established scientific protocols for site selection; </w:t>
            </w:r>
          </w:p>
          <w:p w:rsidR="00000000" w:rsidDel="00000000" w:rsidP="00000000" w:rsidRDefault="00000000" w:rsidRPr="00000000" w14:paraId="0000002B">
            <w:pPr>
              <w:spacing w:after="240" w:before="240" w:lineRule="auto"/>
              <w:rPr/>
            </w:pPr>
            <w:r w:rsidDel="00000000" w:rsidR="00000000" w:rsidRPr="00000000">
              <w:rPr>
                <w:rtl w:val="0"/>
              </w:rPr>
              <w:t xml:space="preserve">(iii) the current condition of the tree canopy cover of the neighborhood where the projects will be located; </w:t>
            </w:r>
          </w:p>
          <w:p w:rsidR="00000000" w:rsidDel="00000000" w:rsidP="00000000" w:rsidRDefault="00000000" w:rsidRPr="00000000" w14:paraId="0000002C">
            <w:pPr>
              <w:spacing w:after="240" w:before="240" w:lineRule="auto"/>
              <w:rPr/>
            </w:pPr>
            <w:r w:rsidDel="00000000" w:rsidR="00000000" w:rsidRPr="00000000">
              <w:rPr>
                <w:rtl w:val="0"/>
              </w:rPr>
              <w:t xml:space="preserve">(iv) how the tree species proposed to be planted are suitable for the specific sites taking into account local environmental conditions and the preference for native tree species and their cultivars;</w:t>
            </w:r>
          </w:p>
          <w:p w:rsidR="00000000" w:rsidDel="00000000" w:rsidP="00000000" w:rsidRDefault="00000000" w:rsidRPr="00000000" w14:paraId="0000002D">
            <w:pPr>
              <w:spacing w:after="240" w:before="240" w:lineRule="auto"/>
              <w:rPr/>
            </w:pPr>
            <w:r w:rsidDel="00000000" w:rsidR="00000000" w:rsidRPr="00000000">
              <w:rPr>
                <w:rtl w:val="0"/>
              </w:rPr>
              <w:t xml:space="preserve">(v) the expected benefits from expansion of the tree canopy cover on energy consumption, heat island effect, wind reduction, storm water runoff, drought mitigation, and other consequences related to climate change; </w:t>
            </w:r>
          </w:p>
          <w:p w:rsidR="00000000" w:rsidDel="00000000" w:rsidP="00000000" w:rsidRDefault="00000000" w:rsidRPr="00000000" w14:paraId="0000002E">
            <w:pPr>
              <w:spacing w:after="240" w:before="240" w:lineRule="auto"/>
              <w:rPr/>
            </w:pPr>
            <w:r w:rsidDel="00000000" w:rsidR="00000000" w:rsidRPr="00000000">
              <w:rPr>
                <w:rtl w:val="0"/>
              </w:rPr>
              <w:t xml:space="preserve">(vi) the expected benefits from expansion of the tree canopy cover on public health; </w:t>
            </w:r>
          </w:p>
          <w:p w:rsidR="00000000" w:rsidDel="00000000" w:rsidP="00000000" w:rsidRDefault="00000000" w:rsidRPr="00000000" w14:paraId="0000002F">
            <w:pPr>
              <w:spacing w:after="240" w:before="240" w:lineRule="auto"/>
              <w:rPr/>
            </w:pPr>
            <w:r w:rsidDel="00000000" w:rsidR="00000000" w:rsidRPr="00000000">
              <w:rPr>
                <w:rtl w:val="0"/>
              </w:rPr>
              <w:t xml:space="preserve">(vii) plans to maintain and provide follow-up care following the planting of the trees; (viii) plans to engage community residents in the planting and maintenance of the trees, including workforce development programs; </w:t>
            </w:r>
          </w:p>
          <w:p w:rsidR="00000000" w:rsidDel="00000000" w:rsidP="00000000" w:rsidRDefault="00000000" w:rsidRPr="00000000" w14:paraId="00000030">
            <w:pPr>
              <w:spacing w:after="240" w:before="240" w:lineRule="auto"/>
              <w:rPr/>
            </w:pPr>
            <w:r w:rsidDel="00000000" w:rsidR="00000000" w:rsidRPr="00000000">
              <w:rPr>
                <w:rtl w:val="0"/>
              </w:rPr>
              <w:t xml:space="preserve">(viiii) the relationship of the project to any municipal vulnerability preparedness program; </w:t>
            </w:r>
          </w:p>
          <w:p w:rsidR="00000000" w:rsidDel="00000000" w:rsidP="00000000" w:rsidRDefault="00000000" w:rsidRPr="00000000" w14:paraId="00000031">
            <w:pPr>
              <w:spacing w:after="240" w:before="240" w:lineRule="auto"/>
              <w:rPr/>
            </w:pPr>
            <w:r w:rsidDel="00000000" w:rsidR="00000000" w:rsidRPr="00000000">
              <w:rPr>
                <w:rtl w:val="0"/>
              </w:rPr>
              <w:t xml:space="preserve">(x) a timeline for completion for each project within the plan while ensuring equitable project prioritization of projects for environmental justice neighborhoods when attainable; </w:t>
            </w:r>
          </w:p>
          <w:p w:rsidR="00000000" w:rsidDel="00000000" w:rsidP="00000000" w:rsidRDefault="00000000" w:rsidRPr="00000000" w14:paraId="00000032">
            <w:pPr>
              <w:spacing w:after="240" w:before="240" w:lineRule="auto"/>
              <w:rPr/>
            </w:pPr>
            <w:r w:rsidDel="00000000" w:rsidR="00000000" w:rsidRPr="00000000">
              <w:rPr>
                <w:rtl w:val="0"/>
              </w:rPr>
              <w:t xml:space="preserve">(xi) certification that tree pits are free of methane leaking from gas pipeline infrastructure; </w:t>
            </w:r>
          </w:p>
          <w:p w:rsidR="00000000" w:rsidDel="00000000" w:rsidP="00000000" w:rsidRDefault="00000000" w:rsidRPr="00000000" w14:paraId="00000033">
            <w:pPr>
              <w:spacing w:after="240" w:before="240" w:lineRule="auto"/>
              <w:rPr/>
            </w:pPr>
            <w:r w:rsidDel="00000000" w:rsidR="00000000" w:rsidRPr="00000000">
              <w:rPr>
                <w:rtl w:val="0"/>
              </w:rPr>
              <w:t xml:space="preserve">(xii) any other information as may be required by the secretary. </w:t>
            </w:r>
          </w:p>
          <w:p w:rsidR="00000000" w:rsidDel="00000000" w:rsidP="00000000" w:rsidRDefault="00000000" w:rsidRPr="00000000" w14:paraId="00000034">
            <w:pPr>
              <w:spacing w:after="240" w:before="240" w:lineRule="auto"/>
              <w:rPr/>
            </w:pPr>
            <w:r w:rsidDel="00000000" w:rsidR="00000000" w:rsidRPr="00000000">
              <w:rPr>
                <w:rtl w:val="0"/>
              </w:rPr>
              <w:t xml:space="preserve">Trees planted under a certified plan may be planted in public rights of way, public parks, and on private residential and commercial property, but priority is to be given to the following: </w:t>
            </w:r>
          </w:p>
          <w:p w:rsidR="00000000" w:rsidDel="00000000" w:rsidP="00000000" w:rsidRDefault="00000000" w:rsidRPr="00000000" w14:paraId="00000035">
            <w:pPr>
              <w:spacing w:after="240" w:before="240" w:lineRule="auto"/>
              <w:rPr/>
            </w:pPr>
            <w:r w:rsidDel="00000000" w:rsidR="00000000" w:rsidRPr="00000000">
              <w:rPr>
                <w:rtl w:val="0"/>
              </w:rPr>
              <w:t xml:space="preserve">(i) sites in neighborhoods with low tree canopy cover with first priority given to sites with less than 20 percent tree canopy cover; </w:t>
            </w:r>
          </w:p>
          <w:p w:rsidR="00000000" w:rsidDel="00000000" w:rsidP="00000000" w:rsidRDefault="00000000" w:rsidRPr="00000000" w14:paraId="00000036">
            <w:pPr>
              <w:spacing w:after="240" w:before="240" w:lineRule="auto"/>
              <w:rPr/>
            </w:pPr>
            <w:r w:rsidDel="00000000" w:rsidR="00000000" w:rsidRPr="00000000">
              <w:rPr>
                <w:rtl w:val="0"/>
              </w:rPr>
              <w:t xml:space="preserve">(ii) sites in neighborhoods with levels of particulate pollutants above the levels determined by DEP and the department of public health (DPH) to be hazardous to human health; </w:t>
            </w:r>
          </w:p>
          <w:p w:rsidR="00000000" w:rsidDel="00000000" w:rsidP="00000000" w:rsidRDefault="00000000" w:rsidRPr="00000000" w14:paraId="00000037">
            <w:pPr>
              <w:spacing w:after="240" w:before="240" w:lineRule="auto"/>
              <w:rPr/>
            </w:pPr>
            <w:r w:rsidDel="00000000" w:rsidR="00000000" w:rsidRPr="00000000">
              <w:rPr>
                <w:rtl w:val="0"/>
              </w:rPr>
              <w:t xml:space="preserve">(iii) sites in environmental justice neighborhoods;</w:t>
            </w:r>
          </w:p>
          <w:p w:rsidR="00000000" w:rsidDel="00000000" w:rsidP="00000000" w:rsidRDefault="00000000" w:rsidRPr="00000000" w14:paraId="00000038">
            <w:pPr>
              <w:spacing w:after="240" w:before="240" w:lineRule="auto"/>
              <w:rPr/>
            </w:pPr>
            <w:r w:rsidDel="00000000" w:rsidR="00000000" w:rsidRPr="00000000">
              <w:rPr>
                <w:rtl w:val="0"/>
              </w:rPr>
              <w:t xml:space="preserve">(iv) neighborhoods that are deemed to be heat islands. </w:t>
            </w:r>
          </w:p>
          <w:p w:rsidR="00000000" w:rsidDel="00000000" w:rsidP="00000000" w:rsidRDefault="00000000" w:rsidRPr="00000000" w14:paraId="00000039">
            <w:pPr>
              <w:spacing w:after="240" w:before="240" w:lineRule="auto"/>
              <w:rPr/>
            </w:pPr>
            <w:r w:rsidDel="00000000" w:rsidR="00000000" w:rsidRPr="00000000">
              <w:rPr>
                <w:rtl w:val="0"/>
              </w:rPr>
              <w:t xml:space="preserve">Second priority shall be given to sites with less than 40 percent tree canopy cover. Third priority shall be given to sites with less than 60 percent tree canopy cover and to sites with  any other criteria determined by the secretary, in consultation with DEP, DOT and the Department of Conservation and Recreation DCR).</w:t>
            </w:r>
          </w:p>
          <w:p w:rsidR="00000000" w:rsidDel="00000000" w:rsidP="00000000" w:rsidRDefault="00000000" w:rsidRPr="00000000" w14:paraId="0000003A">
            <w:pPr>
              <w:spacing w:after="240" w:before="240" w:lineRule="auto"/>
              <w:rPr/>
            </w:pPr>
            <w:r w:rsidDel="00000000" w:rsidR="00000000" w:rsidRPr="00000000">
              <w:rPr>
                <w:rtl w:val="0"/>
              </w:rPr>
              <w:t xml:space="preserve">Municipalities are to submit updated plans for recertification every 5 years. </w:t>
            </w:r>
          </w:p>
          <w:p w:rsidR="00000000" w:rsidDel="00000000" w:rsidP="00000000" w:rsidRDefault="00000000" w:rsidRPr="00000000" w14:paraId="0000003B">
            <w:pPr>
              <w:spacing w:after="240" w:before="240" w:lineRule="auto"/>
              <w:rPr/>
            </w:pPr>
            <w:r w:rsidDel="00000000" w:rsidR="00000000" w:rsidRPr="00000000">
              <w:rPr>
                <w:rtl w:val="0"/>
              </w:rPr>
              <w:t xml:space="preserve">The secretary shall report annually, no later than October 1, on the results of the municipal reforestation program to the Governor and to the Clerks of the House of Representatives and the Senate. The secretary may adopt rules, regulations, and guidelines for the administration and implementation.</w:t>
            </w:r>
          </w:p>
          <w:p w:rsidR="00000000" w:rsidDel="00000000" w:rsidP="00000000" w:rsidRDefault="00000000" w:rsidRPr="00000000" w14:paraId="0000003C">
            <w:pPr>
              <w:spacing w:after="240" w:before="240" w:lineRule="auto"/>
              <w:rPr/>
            </w:pPr>
            <w:r w:rsidDel="00000000" w:rsidR="00000000" w:rsidRPr="00000000">
              <w:rPr>
                <w:rtl w:val="0"/>
              </w:rPr>
              <w:t xml:space="preserve">The Municipal Reforestation Trust Fund is to be set up on the books of the Commonwealth, to be expended by the EEA Secretariat to fund the activities of the Municipal Reforestation Program and the Urban Forest Advisory Council.</w:t>
            </w:r>
          </w:p>
        </w:tc>
      </w:tr>
    </w:tbl>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