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3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6735"/>
        <w:tblGridChange w:id="0">
          <w:tblGrid>
            <w:gridCol w:w="2595"/>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1020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improve the review and regulation of emerging contaminants on public water systems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Philips</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H934; sent to study by ENRA</w:t>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H880; sent to study by ENR (study order H4668)</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Section 160 of Chapter 111 of MGL to establish a Science Advisory Board for public water supplies (PWS). The Board will facilitate timely and accurate toxicological assessments of contaminants of concern, receipt of comments from PWS, public health, municipal, and industry interests regarding the burdens of implementing any new Health Advisory Maximum Contaminant Level Goal (MCLG), or MCL, and reporting formal findings to the MassDEP in connection with any regulatory effort to identify and evaluate whether certain contaminants of concern have an adverse impact on human health and if they should be regulated.</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Science Advisory Board will have a term of 5 years and will consist of 13 members; 6 positions will be permanent organization members and 7 positions will be at-large members. </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the Governor will appoint members to a Small Business Advocacy Review (SBAR) panel to review any proposed Drinking Water Standard. The SBAR panel will consist of 11 members.</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Science Advisory Board will submit its findings and final determination to MassDEP with its formal recommendation regarding the identification of a proposed contaminant of concerns. Furthermore, the Department of Environmental Protection will prepare a health risk reduction and cost analysis (HRRCA) in support of any Massachusetts Drinking Water Standard and must review its Drinking Water Standards every 6 years and revise if appropriate.</w:t>
            </w:r>
          </w:p>
          <w:p w:rsidR="00000000" w:rsidDel="00000000" w:rsidP="00000000" w:rsidRDefault="00000000" w:rsidRPr="00000000" w14:paraId="00000016">
            <w:pPr>
              <w:spacing w:after="240" w:before="240" w:line="240" w:lineRule="auto"/>
              <w:ind w:left="0" w:firstLine="0"/>
              <w:rPr>
                <w:rFonts w:ascii="Times New Roman" w:cs="Times New Roman" w:eastAsia="Times New Roman" w:hAnsi="Times New Roman"/>
                <w:sz w:val="12"/>
                <w:szCs w:val="12"/>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