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No. 1022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Act relative to meeting the Commonwealth's water infrastructure future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Philips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S.563, Senator Cronin</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File; no previous history.</w:t>
            </w:r>
            <w:r w:rsidDel="00000000" w:rsidR="00000000" w:rsidRPr="00000000">
              <w:rPr>
                <w:rtl w:val="0"/>
              </w:rPr>
            </w:r>
          </w:p>
        </w:tc>
      </w:tr>
      <w:tr>
        <w:trPr>
          <w:cantSplit w:val="0"/>
          <w:trHeight w:val="6265.7446289062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0" w:before="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0F">
            <w:pPr>
              <w:spacing w:after="0" w:before="0" w:lineRule="auto"/>
              <w:rPr>
                <w:rFonts w:ascii="Times New Roman" w:cs="Times New Roman" w:eastAsia="Times New Roman" w:hAnsi="Times New Roman"/>
                <w:b w:val="1"/>
                <w:sz w:val="18"/>
                <w:szCs w:val="18"/>
                <w:u w:val="single"/>
              </w:rPr>
            </w:pPr>
            <w:r w:rsidDel="00000000" w:rsidR="00000000" w:rsidRPr="00000000">
              <w:rPr>
                <w:rtl w:val="0"/>
              </w:rPr>
            </w:r>
          </w:p>
          <w:p w:rsidR="00000000" w:rsidDel="00000000" w:rsidP="00000000" w:rsidRDefault="00000000" w:rsidRPr="00000000" w14:paraId="00000010">
            <w:pPr>
              <w:shd w:fill="ffffff" w:val="clear"/>
              <w:spacing w:after="0" w:before="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Through the disbursement of public funds, t</w:t>
            </w:r>
            <w:r w:rsidDel="00000000" w:rsidR="00000000" w:rsidRPr="00000000">
              <w:rPr>
                <w:rFonts w:ascii="Times New Roman" w:cs="Times New Roman" w:eastAsia="Times New Roman" w:hAnsi="Times New Roman"/>
                <w:highlight w:val="white"/>
                <w:rtl w:val="0"/>
              </w:rPr>
              <w:t xml:space="preserve">his legislation enables a variety of funding programs designed to address an expected funding cliff for water infrastructure needs. Further, authorizations for such funding are proposed in this bill in addition to establishing an interbasin law review commission, expanding the jurisdiction of the Water Infrastructure Advisory Council (WIAC), creating a water efficiency taskforce, various workforce training programs, and mandating the ranked allocation of financial assistance for water infrastructure.  Notable exceptions are made for unoccupied water, wastewater and transportation related structures from compliance with plumbing code requirements for restrooms in unoccupied structures. </w:t>
            </w:r>
          </w:p>
          <w:p w:rsidR="00000000" w:rsidDel="00000000" w:rsidP="00000000" w:rsidRDefault="00000000" w:rsidRPr="00000000" w14:paraId="00000011">
            <w:pPr>
              <w:shd w:fill="ffffff" w:val="clear"/>
              <w:spacing w:after="0" w:before="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12">
            <w:pPr>
              <w:shd w:fill="ffffff" w:val="clear"/>
              <w:spacing w:after="0" w:before="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Various methods of funding include bonding to municipalities, directed money for MWRA, a regional matching program and funding assistance for the Clean Water Trust’s contract assistance program and workforce development. In addition to creating a water efficiency task force to examine the barriers to enacting this investment, the bill establishes a workforce training and awareness grant program under the Dept. of Higher Education to promote careers relating to water infrastructure needs.</w:t>
            </w:r>
          </w:p>
          <w:p w:rsidR="00000000" w:rsidDel="00000000" w:rsidP="00000000" w:rsidRDefault="00000000" w:rsidRPr="00000000" w14:paraId="00000013">
            <w:pPr>
              <w:shd w:fill="ffffff" w:val="clear"/>
              <w:spacing w:after="0" w:before="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14">
            <w:pPr>
              <w:shd w:fill="ffffff" w:val="clear"/>
              <w:spacing w:after="0" w:before="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 all, this bill proposes language to serve as a vehicle to begin addressing the Commonwealth’s estimated $36B in water infrastructure needs.</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